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8D0" w:rsidRDefault="002A78D0" w:rsidP="002A78D0">
      <w:pPr>
        <w:spacing w:beforeLines="50" w:before="156" w:afterLines="50" w:after="156" w:line="360" w:lineRule="auto"/>
        <w:jc w:val="center"/>
        <w:rPr>
          <w:rFonts w:ascii="Times New Roman" w:hAnsi="Times New Roman"/>
          <w:b/>
          <w:color w:val="000000" w:themeColor="text1"/>
          <w:sz w:val="28"/>
          <w:szCs w:val="32"/>
        </w:rPr>
      </w:pPr>
      <w:r w:rsidRPr="00F56205">
        <w:rPr>
          <w:rFonts w:ascii="黑体" w:eastAsia="黑体" w:hAnsi="黑体" w:hint="eastAsia"/>
          <w:b/>
          <w:sz w:val="32"/>
          <w:szCs w:val="24"/>
        </w:rPr>
        <w:t>东华大学</w:t>
      </w:r>
      <w:r>
        <w:rPr>
          <w:rFonts w:ascii="黑体" w:eastAsia="黑体" w:hAnsi="黑体" w:hint="eastAsia"/>
          <w:b/>
          <w:sz w:val="32"/>
          <w:szCs w:val="24"/>
        </w:rPr>
        <w:t>非织造材料</w:t>
      </w:r>
      <w:r>
        <w:rPr>
          <w:rFonts w:ascii="黑体" w:eastAsia="黑体" w:hAnsi="黑体"/>
          <w:b/>
          <w:sz w:val="32"/>
          <w:szCs w:val="24"/>
        </w:rPr>
        <w:t>与工程</w:t>
      </w:r>
      <w:r w:rsidRPr="00F56205">
        <w:rPr>
          <w:rFonts w:ascii="黑体" w:eastAsia="黑体" w:hAnsi="黑体" w:hint="eastAsia"/>
          <w:b/>
          <w:sz w:val="32"/>
          <w:szCs w:val="24"/>
        </w:rPr>
        <w:t>专业培养目标及毕业要求</w:t>
      </w:r>
    </w:p>
    <w:p w:rsidR="002A78D0" w:rsidRPr="002A78D0" w:rsidRDefault="002A78D0" w:rsidP="002A78D0">
      <w:pPr>
        <w:spacing w:line="360" w:lineRule="auto"/>
        <w:rPr>
          <w:rFonts w:ascii="宋体" w:eastAsia="宋体" w:hAnsi="宋体"/>
          <w:b/>
          <w:color w:val="000000" w:themeColor="text1"/>
          <w:sz w:val="24"/>
          <w:szCs w:val="24"/>
        </w:rPr>
      </w:pPr>
      <w:r w:rsidRPr="002A78D0">
        <w:rPr>
          <w:rFonts w:ascii="宋体" w:eastAsia="宋体" w:hAnsi="宋体"/>
          <w:b/>
          <w:color w:val="000000" w:themeColor="text1"/>
          <w:sz w:val="24"/>
          <w:szCs w:val="24"/>
        </w:rPr>
        <w:t>1</w:t>
      </w:r>
      <w:r w:rsidRPr="002A78D0">
        <w:rPr>
          <w:rFonts w:ascii="宋体" w:eastAsia="宋体" w:hAnsi="宋体" w:hint="eastAsia"/>
          <w:b/>
          <w:color w:val="000000" w:themeColor="text1"/>
          <w:sz w:val="24"/>
          <w:szCs w:val="24"/>
        </w:rPr>
        <w:t>．培养目标</w:t>
      </w:r>
    </w:p>
    <w:p w:rsidR="002A78D0" w:rsidRPr="002A78D0" w:rsidRDefault="002A78D0" w:rsidP="002A78D0">
      <w:pPr>
        <w:spacing w:line="360" w:lineRule="auto"/>
        <w:ind w:firstLineChars="200" w:firstLine="480"/>
        <w:rPr>
          <w:rFonts w:ascii="宋体" w:eastAsia="宋体" w:hAnsi="宋体"/>
          <w:color w:val="000000" w:themeColor="text1"/>
          <w:sz w:val="24"/>
          <w:szCs w:val="24"/>
        </w:rPr>
      </w:pPr>
      <w:r w:rsidRPr="002A78D0">
        <w:rPr>
          <w:rFonts w:ascii="宋体" w:eastAsia="宋体" w:hAnsi="宋体" w:hint="eastAsia"/>
          <w:color w:val="000000" w:themeColor="text1"/>
          <w:sz w:val="24"/>
          <w:szCs w:val="24"/>
        </w:rPr>
        <w:t>本专业坚持和拥护党对教育事业的全面领导，坚持中国特色社会主义教育发展道路。以立德树人为人才培养的根本任务，致力于培养适应社会与经济发展、面向现代非织造行业需求，具有良好的科学、工程及人文素养，具有深厚的爱国主义情怀，德智体美劳全面发展的社会主义事业合格建设者和可靠接班人。</w:t>
      </w:r>
    </w:p>
    <w:p w:rsidR="002A78D0" w:rsidRPr="002A78D0" w:rsidRDefault="002A78D0" w:rsidP="002A78D0">
      <w:pPr>
        <w:spacing w:line="360" w:lineRule="auto"/>
        <w:ind w:firstLineChars="200" w:firstLine="480"/>
        <w:rPr>
          <w:rFonts w:ascii="宋体" w:eastAsia="宋体" w:hAnsi="宋体"/>
          <w:color w:val="000000" w:themeColor="text1"/>
          <w:sz w:val="24"/>
          <w:szCs w:val="24"/>
        </w:rPr>
      </w:pPr>
      <w:r w:rsidRPr="002A78D0">
        <w:rPr>
          <w:rFonts w:ascii="宋体" w:eastAsia="宋体" w:hAnsi="宋体" w:hint="eastAsia"/>
          <w:color w:val="000000" w:themeColor="text1"/>
          <w:sz w:val="24"/>
          <w:szCs w:val="24"/>
        </w:rPr>
        <w:t>根据学校2013年版章程，非织造材料与工程专业旨在培养掌握现代非织造专业知识和基本技能，具有发展创新精神和国际视野，能服务于现代非织造行业相关领域，从事非织造原材料制备与选用、非织造工程工艺设计与控制、非织造产品开发设计与检测，以及管理和贸易等工作的高层次应用型创新人才。</w:t>
      </w:r>
    </w:p>
    <w:p w:rsidR="002A78D0" w:rsidRPr="002A78D0" w:rsidRDefault="002A78D0" w:rsidP="002A78D0">
      <w:pPr>
        <w:spacing w:line="360" w:lineRule="auto"/>
        <w:ind w:firstLineChars="200" w:firstLine="480"/>
        <w:rPr>
          <w:rFonts w:ascii="宋体" w:eastAsia="宋体" w:hAnsi="宋体"/>
          <w:color w:val="000000" w:themeColor="text1"/>
          <w:sz w:val="24"/>
          <w:szCs w:val="24"/>
        </w:rPr>
      </w:pPr>
      <w:r w:rsidRPr="002A78D0">
        <w:rPr>
          <w:rFonts w:ascii="宋体" w:eastAsia="宋体" w:hAnsi="宋体" w:hint="eastAsia"/>
          <w:color w:val="000000" w:themeColor="text1"/>
          <w:sz w:val="24"/>
          <w:szCs w:val="24"/>
        </w:rPr>
        <w:t xml:space="preserve">预期在学生毕业五年左右，能达到以下目标： </w:t>
      </w:r>
    </w:p>
    <w:p w:rsidR="002A78D0" w:rsidRPr="002A78D0" w:rsidRDefault="002A78D0" w:rsidP="002A78D0">
      <w:pPr>
        <w:spacing w:line="360" w:lineRule="auto"/>
        <w:ind w:firstLineChars="200" w:firstLine="480"/>
        <w:rPr>
          <w:rFonts w:ascii="宋体" w:eastAsia="宋体" w:hAnsi="宋体"/>
          <w:color w:val="000000" w:themeColor="text1"/>
          <w:sz w:val="24"/>
          <w:szCs w:val="24"/>
        </w:rPr>
      </w:pPr>
      <w:r w:rsidRPr="002A78D0">
        <w:rPr>
          <w:rFonts w:ascii="宋体" w:eastAsia="宋体" w:hAnsi="宋体" w:hint="eastAsia"/>
          <w:color w:val="000000" w:themeColor="text1"/>
          <w:sz w:val="24"/>
          <w:szCs w:val="24"/>
        </w:rPr>
        <w:t xml:space="preserve">（1）能够适应现代非织造材料与工程技术发展，融会贯通工程数理基本知识和非织造材料与工程专业知识，能对复杂工程项目提供系统性的解决方案。 </w:t>
      </w:r>
    </w:p>
    <w:p w:rsidR="002A78D0" w:rsidRPr="002A78D0" w:rsidRDefault="002A78D0" w:rsidP="002A78D0">
      <w:pPr>
        <w:spacing w:line="360" w:lineRule="auto"/>
        <w:ind w:firstLineChars="200" w:firstLine="480"/>
        <w:rPr>
          <w:rFonts w:ascii="宋体" w:eastAsia="宋体" w:hAnsi="宋体"/>
          <w:color w:val="000000" w:themeColor="text1"/>
          <w:sz w:val="24"/>
          <w:szCs w:val="24"/>
        </w:rPr>
      </w:pPr>
      <w:r w:rsidRPr="002A78D0">
        <w:rPr>
          <w:rFonts w:ascii="宋体" w:eastAsia="宋体" w:hAnsi="宋体" w:hint="eastAsia"/>
          <w:color w:val="000000" w:themeColor="text1"/>
          <w:sz w:val="24"/>
          <w:szCs w:val="24"/>
        </w:rPr>
        <w:t xml:space="preserve">（2）能够跟踪非织造材料与工程及相关领域的前沿技术，具备的一定工程创新能力，具备运用现代工具从事本领域相关产品的设计、开发和生产的能力。 </w:t>
      </w:r>
    </w:p>
    <w:p w:rsidR="002A78D0" w:rsidRPr="002A78D0" w:rsidRDefault="002A78D0" w:rsidP="002A78D0">
      <w:pPr>
        <w:spacing w:line="360" w:lineRule="auto"/>
        <w:ind w:firstLineChars="200" w:firstLine="480"/>
        <w:rPr>
          <w:rFonts w:ascii="宋体" w:eastAsia="宋体" w:hAnsi="宋体"/>
          <w:color w:val="000000" w:themeColor="text1"/>
          <w:sz w:val="24"/>
          <w:szCs w:val="24"/>
        </w:rPr>
      </w:pPr>
      <w:r w:rsidRPr="002A78D0">
        <w:rPr>
          <w:rFonts w:ascii="宋体" w:eastAsia="宋体" w:hAnsi="宋体" w:hint="eastAsia"/>
          <w:color w:val="000000" w:themeColor="text1"/>
          <w:sz w:val="24"/>
          <w:szCs w:val="24"/>
        </w:rPr>
        <w:t xml:space="preserve">（3）具备社会责任感，理解并坚守职业道德规范，综合考虑法律、环境与可持续性发展等因素影响，在非织造材料与工程及相关领域实践中能坚持公众利益优先。 </w:t>
      </w:r>
    </w:p>
    <w:p w:rsidR="002A78D0" w:rsidRPr="002A78D0" w:rsidRDefault="002A78D0" w:rsidP="002A78D0">
      <w:pPr>
        <w:spacing w:line="360" w:lineRule="auto"/>
        <w:ind w:firstLineChars="200" w:firstLine="480"/>
        <w:rPr>
          <w:rFonts w:ascii="宋体" w:eastAsia="宋体" w:hAnsi="宋体"/>
          <w:color w:val="000000" w:themeColor="text1"/>
          <w:sz w:val="24"/>
          <w:szCs w:val="24"/>
        </w:rPr>
      </w:pPr>
      <w:r w:rsidRPr="002A78D0">
        <w:rPr>
          <w:rFonts w:ascii="宋体" w:eastAsia="宋体" w:hAnsi="宋体" w:hint="eastAsia"/>
          <w:color w:val="000000" w:themeColor="text1"/>
          <w:sz w:val="24"/>
          <w:szCs w:val="24"/>
        </w:rPr>
        <w:t xml:space="preserve">（4）具备健康的身心和良好的人文科学素养，拥有团队精神、有效的沟通、表达能力和非织造材料与工程项目管理的能力。 </w:t>
      </w:r>
    </w:p>
    <w:p w:rsidR="002A78D0" w:rsidRPr="002A78D0" w:rsidRDefault="002A78D0" w:rsidP="002A78D0">
      <w:pPr>
        <w:spacing w:line="360" w:lineRule="auto"/>
        <w:ind w:firstLineChars="200" w:firstLine="480"/>
        <w:rPr>
          <w:rFonts w:ascii="宋体" w:eastAsia="宋体" w:hAnsi="宋体"/>
          <w:color w:val="000000" w:themeColor="text1"/>
          <w:sz w:val="24"/>
          <w:szCs w:val="24"/>
        </w:rPr>
      </w:pPr>
      <w:r w:rsidRPr="002A78D0">
        <w:rPr>
          <w:rFonts w:ascii="宋体" w:eastAsia="宋体" w:hAnsi="宋体" w:hint="eastAsia"/>
          <w:color w:val="000000" w:themeColor="text1"/>
          <w:sz w:val="24"/>
          <w:szCs w:val="24"/>
        </w:rPr>
        <w:t xml:space="preserve">（5）具有全球化意识和国际视野，能够积极主动适应不断变化的国内外形势和环境，面对非织造材料与工程及相关领域出现的新知识、新问题时，具有自主、终生的学习的习惯和能力。 </w:t>
      </w:r>
    </w:p>
    <w:p w:rsidR="002A78D0" w:rsidRPr="002A78D0" w:rsidRDefault="002A78D0" w:rsidP="002A78D0">
      <w:pPr>
        <w:spacing w:line="360" w:lineRule="auto"/>
        <w:rPr>
          <w:rFonts w:ascii="宋体" w:eastAsia="宋体" w:hAnsi="宋体"/>
          <w:b/>
          <w:color w:val="000000" w:themeColor="text1"/>
          <w:sz w:val="24"/>
          <w:szCs w:val="24"/>
        </w:rPr>
      </w:pPr>
      <w:r w:rsidRPr="002A78D0">
        <w:rPr>
          <w:rFonts w:ascii="宋体" w:eastAsia="宋体" w:hAnsi="宋体" w:hint="eastAsia"/>
          <w:b/>
          <w:color w:val="000000" w:themeColor="text1"/>
          <w:sz w:val="24"/>
          <w:szCs w:val="24"/>
        </w:rPr>
        <w:t>2．毕业要求</w:t>
      </w:r>
    </w:p>
    <w:p w:rsidR="002A78D0" w:rsidRPr="002A78D0" w:rsidRDefault="002A78D0" w:rsidP="002A78D0">
      <w:pPr>
        <w:spacing w:line="360" w:lineRule="auto"/>
        <w:ind w:firstLineChars="200" w:firstLine="482"/>
        <w:rPr>
          <w:rFonts w:ascii="宋体" w:eastAsia="宋体" w:hAnsi="宋体"/>
          <w:b/>
          <w:bCs/>
          <w:color w:val="000000" w:themeColor="text1"/>
          <w:sz w:val="24"/>
          <w:szCs w:val="24"/>
          <w:highlight w:val="yellow"/>
        </w:rPr>
      </w:pPr>
      <w:r w:rsidRPr="002A78D0">
        <w:rPr>
          <w:rFonts w:ascii="宋体" w:eastAsia="宋体" w:hAnsi="宋体" w:hint="eastAsia"/>
          <w:b/>
          <w:bCs/>
          <w:color w:val="000000" w:themeColor="text1"/>
          <w:sz w:val="24"/>
          <w:szCs w:val="24"/>
        </w:rPr>
        <w:t>（1）专业的毕业要求原文</w:t>
      </w:r>
    </w:p>
    <w:p w:rsidR="002A78D0" w:rsidRPr="002A78D0" w:rsidRDefault="002A78D0" w:rsidP="002A78D0">
      <w:pPr>
        <w:widowControl/>
        <w:spacing w:line="360" w:lineRule="auto"/>
        <w:ind w:firstLineChars="200" w:firstLine="480"/>
        <w:jc w:val="left"/>
        <w:rPr>
          <w:rFonts w:ascii="宋体" w:eastAsia="宋体" w:hAnsi="宋体" w:cs="宋体"/>
          <w:sz w:val="24"/>
          <w:szCs w:val="24"/>
        </w:rPr>
      </w:pPr>
      <w:r w:rsidRPr="002A78D0">
        <w:rPr>
          <w:rFonts w:ascii="宋体" w:eastAsia="宋体" w:hAnsi="宋体" w:cs="宋体" w:hint="eastAsia"/>
          <w:color w:val="000000"/>
          <w:kern w:val="0"/>
          <w:sz w:val="24"/>
          <w:szCs w:val="24"/>
          <w:lang w:bidi="ar"/>
        </w:rPr>
        <w:t>根据东华大学非织造材料与工程专业人才培养方案（2020版）</w:t>
      </w:r>
      <w:r w:rsidRPr="002A78D0">
        <w:rPr>
          <w:rFonts w:ascii="宋体" w:eastAsia="宋体" w:hAnsi="宋体" w:cs="宋体" w:hint="eastAsia"/>
          <w:kern w:val="0"/>
          <w:sz w:val="24"/>
          <w:szCs w:val="24"/>
          <w:lang w:bidi="ar"/>
        </w:rPr>
        <w:t>（附件2）</w:t>
      </w:r>
      <w:r w:rsidRPr="002A78D0">
        <w:rPr>
          <w:rFonts w:ascii="宋体" w:eastAsia="宋体" w:hAnsi="宋体" w:cs="宋体" w:hint="eastAsia"/>
          <w:color w:val="000000"/>
          <w:kern w:val="0"/>
          <w:sz w:val="24"/>
          <w:szCs w:val="24"/>
          <w:lang w:bidi="ar"/>
        </w:rPr>
        <w:t xml:space="preserve">，本专业培养目标及其分解指标点原文如下： </w:t>
      </w:r>
    </w:p>
    <w:p w:rsidR="002A78D0" w:rsidRPr="002A78D0" w:rsidRDefault="002A78D0" w:rsidP="002A78D0">
      <w:pPr>
        <w:widowControl/>
        <w:spacing w:line="360" w:lineRule="auto"/>
        <w:ind w:firstLineChars="200" w:firstLine="480"/>
        <w:jc w:val="left"/>
        <w:rPr>
          <w:rFonts w:ascii="宋体" w:eastAsia="宋体" w:hAnsi="宋体" w:cs="宋体"/>
          <w:sz w:val="24"/>
          <w:szCs w:val="24"/>
        </w:rPr>
      </w:pPr>
      <w:r w:rsidRPr="002A78D0">
        <w:rPr>
          <w:rFonts w:ascii="宋体" w:eastAsia="宋体" w:hAnsi="宋体" w:cs="宋体" w:hint="eastAsia"/>
          <w:color w:val="000000"/>
          <w:kern w:val="0"/>
          <w:sz w:val="24"/>
          <w:szCs w:val="24"/>
          <w:lang w:bidi="ar"/>
        </w:rPr>
        <w:lastRenderedPageBreak/>
        <w:t xml:space="preserve">本专业学生主要学习数学、自然科学、工程科学以及非织造材料与工程方面的基本理论和基本知识，系统掌握化学、物理和机械方法生产非织造材料，并能运用基本理论与工艺原理对其作进一步深加工和精加工，具有非织造原材料制备与选用、非织造工艺设计与控制、非织造产品设计开发与检测，以及相关领域管理和贸易等工作的基本技能。 </w:t>
      </w:r>
    </w:p>
    <w:p w:rsidR="002A78D0" w:rsidRPr="002A78D0" w:rsidRDefault="002A78D0" w:rsidP="002A78D0">
      <w:pPr>
        <w:widowControl/>
        <w:spacing w:line="360" w:lineRule="auto"/>
        <w:ind w:firstLineChars="200" w:firstLine="480"/>
        <w:jc w:val="left"/>
        <w:rPr>
          <w:rFonts w:ascii="宋体" w:eastAsia="宋体" w:hAnsi="宋体" w:cs="宋体"/>
          <w:color w:val="000000"/>
          <w:kern w:val="0"/>
          <w:sz w:val="24"/>
          <w:szCs w:val="24"/>
          <w:lang w:bidi="ar"/>
        </w:rPr>
      </w:pPr>
      <w:r w:rsidRPr="002A78D0">
        <w:rPr>
          <w:rFonts w:ascii="宋体" w:eastAsia="宋体" w:hAnsi="宋体" w:cs="宋体" w:hint="eastAsia"/>
          <w:color w:val="000000"/>
          <w:kern w:val="0"/>
          <w:sz w:val="24"/>
          <w:szCs w:val="24"/>
          <w:lang w:bidi="ar"/>
        </w:rPr>
        <w:t xml:space="preserve">毕业生应达到如下在知识、能力和素质等方面的要求。 </w:t>
      </w:r>
    </w:p>
    <w:p w:rsidR="002A78D0" w:rsidRPr="002A78D0" w:rsidRDefault="002A78D0" w:rsidP="002A78D0">
      <w:pPr>
        <w:widowControl/>
        <w:spacing w:line="360" w:lineRule="auto"/>
        <w:jc w:val="center"/>
        <w:rPr>
          <w:rFonts w:ascii="宋体" w:eastAsia="宋体" w:hAnsi="宋体" w:cs="宋体"/>
          <w:color w:val="000000" w:themeColor="text1"/>
          <w:sz w:val="24"/>
          <w:szCs w:val="24"/>
          <w:highlight w:val="yellow"/>
        </w:rPr>
      </w:pPr>
      <w:r w:rsidRPr="002A78D0">
        <w:rPr>
          <w:rFonts w:ascii="宋体" w:eastAsia="宋体" w:hAnsi="宋体" w:cs="宋体" w:hint="eastAsia"/>
          <w:b/>
          <w:bCs/>
          <w:color w:val="000000"/>
          <w:kern w:val="0"/>
          <w:sz w:val="24"/>
          <w:szCs w:val="24"/>
          <w:lang w:bidi="ar"/>
        </w:rPr>
        <w:t>表1 专业制定的毕业要求及其分解指标点</w:t>
      </w:r>
    </w:p>
    <w:tbl>
      <w:tblPr>
        <w:tblStyle w:val="a7"/>
        <w:tblW w:w="8642" w:type="dxa"/>
        <w:tblInd w:w="0" w:type="dxa"/>
        <w:tblCellMar>
          <w:left w:w="108" w:type="dxa"/>
          <w:right w:w="108" w:type="dxa"/>
        </w:tblCellMar>
        <w:tblLook w:val="04A0" w:firstRow="1" w:lastRow="0" w:firstColumn="1" w:lastColumn="0" w:noHBand="0" w:noVBand="1"/>
      </w:tblPr>
      <w:tblGrid>
        <w:gridCol w:w="3631"/>
        <w:gridCol w:w="5011"/>
      </w:tblGrid>
      <w:tr w:rsidR="002A78D0" w:rsidRPr="002A78D0" w:rsidTr="00F93E2C">
        <w:tc>
          <w:tcPr>
            <w:tcW w:w="3631" w:type="dxa"/>
            <w:tcBorders>
              <w:bottom w:val="single" w:sz="4" w:space="0" w:color="auto"/>
              <w:right w:val="single" w:sz="4" w:space="0" w:color="auto"/>
            </w:tcBorders>
            <w:shd w:val="clear" w:color="auto" w:fill="4BACC6"/>
            <w:vAlign w:val="center"/>
          </w:tcPr>
          <w:p w:rsidR="002A78D0" w:rsidRPr="002A78D0" w:rsidRDefault="002A78D0" w:rsidP="00F93E2C">
            <w:pPr>
              <w:autoSpaceDE w:val="0"/>
              <w:autoSpaceDN w:val="0"/>
              <w:adjustRightInd w:val="0"/>
              <w:spacing w:line="360" w:lineRule="auto"/>
              <w:jc w:val="center"/>
              <w:rPr>
                <w:rFonts w:ascii="宋体" w:hAnsi="宋体" w:cs="宋体"/>
                <w:b/>
                <w:bCs/>
                <w:sz w:val="24"/>
                <w:szCs w:val="24"/>
              </w:rPr>
            </w:pPr>
            <w:r w:rsidRPr="002A78D0">
              <w:rPr>
                <w:rFonts w:ascii="宋体" w:hAnsi="宋体" w:cs="宋体" w:hint="eastAsia"/>
                <w:b/>
                <w:bCs/>
                <w:sz w:val="24"/>
                <w:szCs w:val="24"/>
              </w:rPr>
              <w:t>毕业要求</w:t>
            </w:r>
          </w:p>
        </w:tc>
        <w:tc>
          <w:tcPr>
            <w:tcW w:w="5011" w:type="dxa"/>
            <w:tcBorders>
              <w:left w:val="single" w:sz="4" w:space="0" w:color="auto"/>
              <w:bottom w:val="single" w:sz="4" w:space="0" w:color="auto"/>
            </w:tcBorders>
            <w:shd w:val="clear" w:color="auto" w:fill="4BACC6"/>
            <w:vAlign w:val="center"/>
          </w:tcPr>
          <w:p w:rsidR="002A78D0" w:rsidRPr="002A78D0" w:rsidRDefault="002A78D0" w:rsidP="00F93E2C">
            <w:pPr>
              <w:autoSpaceDE w:val="0"/>
              <w:autoSpaceDN w:val="0"/>
              <w:adjustRightInd w:val="0"/>
              <w:spacing w:line="360" w:lineRule="auto"/>
              <w:jc w:val="center"/>
              <w:rPr>
                <w:rFonts w:ascii="宋体" w:hAnsi="宋体" w:cs="宋体"/>
                <w:b/>
                <w:bCs/>
                <w:sz w:val="24"/>
                <w:szCs w:val="24"/>
              </w:rPr>
            </w:pPr>
            <w:r w:rsidRPr="002A78D0">
              <w:rPr>
                <w:rFonts w:ascii="宋体" w:hAnsi="宋体" w:cs="宋体" w:hint="eastAsia"/>
                <w:b/>
                <w:bCs/>
                <w:sz w:val="24"/>
                <w:szCs w:val="24"/>
              </w:rPr>
              <w:t>指标点分解</w:t>
            </w:r>
          </w:p>
        </w:tc>
      </w:tr>
      <w:tr w:rsidR="002A78D0" w:rsidRPr="002A78D0" w:rsidTr="00F93E2C">
        <w:trPr>
          <w:trHeight w:val="468"/>
        </w:trPr>
        <w:tc>
          <w:tcPr>
            <w:tcW w:w="3631" w:type="dxa"/>
            <w:vMerge w:val="restar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（1）工程知识：</w:t>
            </w:r>
            <w:r w:rsidRPr="002A78D0">
              <w:rPr>
                <w:rFonts w:ascii="宋体" w:hAnsi="宋体" w:cs="宋体" w:hint="eastAsia"/>
                <w:szCs w:val="21"/>
              </w:rPr>
              <w:t>能够将数学、自然科学、工程基础，以及纺织和非织造专业知识用于解决原材料制备与选用、工艺设计与控制、产品设计开发与检测等各类复杂工程问题。</w:t>
            </w:r>
          </w:p>
        </w:tc>
        <w:tc>
          <w:tcPr>
            <w:tcW w:w="5011" w:type="dxa"/>
            <w:vMerge w:val="restart"/>
            <w:tcBorders>
              <w:top w:val="single" w:sz="4" w:space="0" w:color="auto"/>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1.1 问题表述：能够运用数学和自然科学、工程基础和非织造材料与工程专业知识的基本概念和原理，对纺织和非织造工程领域复杂工程问题加以表述</w:t>
            </w: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40"/>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634"/>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1.2 建模求解：能够针对工程领域中一个系统和过程选择或建立合适的数学模型并求解</w:t>
            </w: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1.3 问题推演与分析：能够将纺织工程专业知识以及数学模型方法用于推演、分析复杂工程领域问题</w:t>
            </w:r>
          </w:p>
        </w:tc>
      </w:tr>
      <w:tr w:rsidR="002A78D0" w:rsidRPr="002A78D0" w:rsidTr="00F93E2C">
        <w:trPr>
          <w:trHeight w:val="480"/>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41"/>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41"/>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10"/>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1.4 方案比较与综合：能够将工程基础和非织造材料与工程专业知识以及数学模型方法用于复杂工程问题解决方案的比较与综合</w:t>
            </w:r>
          </w:p>
        </w:tc>
      </w:tr>
      <w:tr w:rsidR="002A78D0" w:rsidRPr="002A78D0" w:rsidTr="00F93E2C">
        <w:trPr>
          <w:trHeight w:val="510"/>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10"/>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val="restar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（2）问题分析：</w:t>
            </w:r>
            <w:r w:rsidRPr="002A78D0">
              <w:rPr>
                <w:rFonts w:ascii="宋体" w:hAnsi="宋体" w:cs="宋体" w:hint="eastAsia"/>
                <w:szCs w:val="21"/>
              </w:rPr>
              <w:t>能够应用数学、自然科学和工程科学的基本原理及非织造材料与工程专业知识，对各类非织造材料与工程领域的复杂工程问题进行剖析、表征，并能够通过文献查阅分析研究获</w:t>
            </w:r>
            <w:r w:rsidRPr="002A78D0">
              <w:rPr>
                <w:rFonts w:ascii="宋体" w:hAnsi="宋体" w:cs="宋体" w:hint="eastAsia"/>
                <w:szCs w:val="21"/>
              </w:rPr>
              <w:lastRenderedPageBreak/>
              <w:t>得合理、有效、正确的结论。</w:t>
            </w:r>
          </w:p>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lastRenderedPageBreak/>
              <w:t>2.1 问题识别与表达：能运用数学、自然科学、工程科学的基本原理，识别和判断出纤维及其制品设计和加工过程中的关键环节和参数，并将问题进行提炼和正确表达</w:t>
            </w: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612"/>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613"/>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szCs w:val="21"/>
              </w:rPr>
              <w:t>2.2 多套方案提出：掌握文献检索方法，基于专业文</w:t>
            </w:r>
            <w:r w:rsidRPr="002A78D0">
              <w:rPr>
                <w:rFonts w:ascii="宋体" w:hAnsi="宋体" w:cs="宋体" w:hint="eastAsia"/>
                <w:szCs w:val="21"/>
              </w:rPr>
              <w:lastRenderedPageBreak/>
              <w:t>献研究，对纤维及其制品的计、加工、检测等复杂工程问题提出多套解决方案</w:t>
            </w:r>
          </w:p>
        </w:tc>
      </w:tr>
      <w:tr w:rsidR="002A78D0" w:rsidRPr="002A78D0" w:rsidTr="00F93E2C">
        <w:trPr>
          <w:trHeight w:val="505"/>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szCs w:val="21"/>
              </w:rPr>
              <w:t>2.3 可行性分析与验证：对解决方案的合理加以分析，提出修改方案并进行验证，最终获得有效结论</w:t>
            </w: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54"/>
        </w:trPr>
        <w:tc>
          <w:tcPr>
            <w:tcW w:w="3631" w:type="dxa"/>
            <w:vMerge w:val="restar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（3）设计/开发解决方案：</w:t>
            </w:r>
            <w:r w:rsidRPr="002A78D0">
              <w:rPr>
                <w:rFonts w:ascii="宋体" w:hAnsi="宋体" w:cs="宋体" w:hint="eastAsia"/>
                <w:szCs w:val="21"/>
              </w:rPr>
              <w:t>掌握非织造材料全周期、全流程的工程设计和产品开发方法和技术，了解影响设计目标和技术方案的各种因素，能够进行工艺流程设计并在设计中体现创新意识，能够在设计中考虑安全、健康、法律、文化及环境等制约因素。</w:t>
            </w: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3.1 影响因素分析：掌握工程设计和非织造产品开发基本原理及方法，能够对非织造产品设计及加工过程中的影响因素进行分析并提出解决方案</w:t>
            </w:r>
          </w:p>
        </w:tc>
      </w:tr>
      <w:tr w:rsidR="002A78D0" w:rsidRPr="002A78D0" w:rsidTr="00F93E2C">
        <w:trPr>
          <w:trHeight w:val="576"/>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99"/>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6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3.2 方案设计与创新：能够设计满足特定需求的非织造产品和加工工艺流程，设计理念及设计过程体现创新意识</w:t>
            </w: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95"/>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3.3 方案评价与优化：能够综合考虑社会、健康、安全、法律、文化、环境等因素对设计方案的可行性进行综合评价，改善非织造产品开发方案和加工工艺</w:t>
            </w:r>
          </w:p>
        </w:tc>
      </w:tr>
      <w:tr w:rsidR="002A78D0" w:rsidRPr="002A78D0" w:rsidTr="00F93E2C">
        <w:trPr>
          <w:trHeight w:val="564"/>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829"/>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72"/>
        </w:trPr>
        <w:tc>
          <w:tcPr>
            <w:tcW w:w="3631" w:type="dxa"/>
            <w:vMerge w:val="restar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（4）研究：</w:t>
            </w:r>
            <w:r w:rsidRPr="002A78D0">
              <w:rPr>
                <w:rFonts w:ascii="宋体" w:hAnsi="宋体" w:cs="宋体" w:hint="eastAsia"/>
                <w:szCs w:val="21"/>
              </w:rPr>
              <w:t>能够基于科学原理并采用科学方法对非织造材料与工程领域复杂工程问题进行研究，包括设计实验、分析与解释数据，并通过信息综合得到合理有效的结论。</w:t>
            </w: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4.1 方案调研与分析：能够基于科学原理，通过文献研究，调研和分析解决非织造产品设计、加工等复杂工程问题的方案</w:t>
            </w:r>
          </w:p>
        </w:tc>
      </w:tr>
      <w:tr w:rsidR="002A78D0" w:rsidRPr="002A78D0" w:rsidTr="00F93E2C">
        <w:trPr>
          <w:trHeight w:val="472"/>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656"/>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4.2 实验设计与实施：能够基于科学原理并采用科学方法，针对非织造产品设计、加工、测试与分析中的问题制定实验方案，开展实验，采集实验数据</w:t>
            </w:r>
          </w:p>
        </w:tc>
      </w:tr>
      <w:tr w:rsidR="002A78D0" w:rsidRPr="002A78D0" w:rsidTr="00F93E2C">
        <w:trPr>
          <w:trHeight w:val="599"/>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4.3 结果分析与讨论：能够运用所学的科学原理对实验结果进行分析和解释，并通过讨论得到合理有效的结论</w:t>
            </w: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1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95"/>
        </w:trPr>
        <w:tc>
          <w:tcPr>
            <w:tcW w:w="3631" w:type="dxa"/>
            <w:vMerge w:val="restar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（5）使用现代工具：</w:t>
            </w:r>
            <w:r w:rsidRPr="002A78D0">
              <w:rPr>
                <w:rFonts w:ascii="宋体" w:hAnsi="宋体" w:cs="宋体" w:hint="eastAsia"/>
                <w:szCs w:val="21"/>
              </w:rPr>
              <w:t>能够针对非织造材料与工程领域的复杂工程问题，开</w:t>
            </w:r>
            <w:r w:rsidRPr="002A78D0">
              <w:rPr>
                <w:rFonts w:ascii="宋体" w:hAnsi="宋体" w:cs="宋体" w:hint="eastAsia"/>
                <w:szCs w:val="21"/>
              </w:rPr>
              <w:lastRenderedPageBreak/>
              <w:t>发、选择与使用恰当的技术、资源、现代工程工具和信息技术工具，包括对复杂工程问题的预测与模拟，并能够理解其局限性。</w:t>
            </w: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lastRenderedPageBreak/>
              <w:t>5.1 学习工具：熟悉非织造材料与工程领域常用的现代工程工具和信息技术工具，并掌握其使用原理和方</w:t>
            </w:r>
            <w:r w:rsidRPr="002A78D0">
              <w:rPr>
                <w:rFonts w:ascii="宋体" w:hAnsi="宋体" w:cs="宋体" w:hint="eastAsia"/>
                <w:szCs w:val="21"/>
              </w:rPr>
              <w:lastRenderedPageBreak/>
              <w:t>法，并理解其局限性</w:t>
            </w: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64"/>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42"/>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5.2 运用工具预测与模拟：能够开发、选择与使用恰当的现代工程工具和信息技术工具，对工程领域复杂工程问题进行预测、模拟与仿真分析</w:t>
            </w:r>
          </w:p>
        </w:tc>
      </w:tr>
      <w:tr w:rsidR="002A78D0" w:rsidRPr="002A78D0" w:rsidTr="00F93E2C">
        <w:trPr>
          <w:trHeight w:val="587"/>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41"/>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1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5.3 使用工具测试与分析：能够使用现代分析测试仪器，观察、测试、分析非织造产品的结构和性能，并理解模拟分析的适用范围与局限性</w:t>
            </w:r>
          </w:p>
        </w:tc>
      </w:tr>
      <w:tr w:rsidR="002A78D0" w:rsidRPr="002A78D0" w:rsidTr="00F93E2C">
        <w:trPr>
          <w:trHeight w:val="529"/>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29"/>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752"/>
        </w:trPr>
        <w:tc>
          <w:tcPr>
            <w:tcW w:w="3631" w:type="dxa"/>
            <w:vMerge w:val="restar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（6）工程与社会：</w:t>
            </w:r>
            <w:r w:rsidRPr="002A78D0">
              <w:rPr>
                <w:rFonts w:ascii="宋体" w:hAnsi="宋体" w:cs="宋体" w:hint="eastAsia"/>
                <w:szCs w:val="21"/>
              </w:rPr>
              <w:t>了解与非织造材料与工程相关的知识产权和技术标准、产业政策和法律法规，能够基于非织造工程相关背景和知识进行合理分析，正确评价非织造材料与工程专业实践和复杂工程问题解决方案对社会、健康、安全、法律以及文化的影响，并理解应承担的责任。</w:t>
            </w: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6.1 理解社会对工程的影响：了解工程领域相关技术标准、知识产权、产业政策，理解社会、健康、安全、法律以及文化等外部制约因素对非织造材料与工程专业实践的影响</w:t>
            </w:r>
          </w:p>
        </w:tc>
      </w:tr>
      <w:tr w:rsidR="002A78D0" w:rsidRPr="002A78D0" w:rsidTr="00F93E2C">
        <w:trPr>
          <w:trHeight w:val="752"/>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41"/>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82"/>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752"/>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6.2 分析和评价工程对社会的影响：能够基于非织造材料与工程相关背景和知识分析和评价非织造产品开发、设计与应用等非织造材料与工程专业实践对社会、健康、安全、法律以及文化的影响，理解应承担责任</w:t>
            </w:r>
          </w:p>
        </w:tc>
      </w:tr>
      <w:tr w:rsidR="002A78D0" w:rsidRPr="002A78D0" w:rsidTr="00F93E2C">
        <w:trPr>
          <w:trHeight w:val="752"/>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87"/>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87"/>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18"/>
        </w:trPr>
        <w:tc>
          <w:tcPr>
            <w:tcW w:w="3631" w:type="dxa"/>
            <w:vMerge w:val="restar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（7）环境和可持续发展：</w:t>
            </w:r>
            <w:r w:rsidRPr="002A78D0">
              <w:rPr>
                <w:rFonts w:ascii="宋体" w:hAnsi="宋体" w:cs="宋体" w:hint="eastAsia"/>
                <w:szCs w:val="21"/>
              </w:rPr>
              <w:t>在了解国家环境保护和可持续发展战略及相关政策、法律和法规的基础上，能够理解和评价针对非织造材料与工程领域复杂工程问题的工程实践对环境、社会可持续发展的影响。</w:t>
            </w: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7.1 增强意识：理解环境保护和社会可持续发展的理念和内涵，了解国家相关政策、法律和法规，具有环境保护和可持续发展的意识</w:t>
            </w:r>
          </w:p>
        </w:tc>
      </w:tr>
      <w:tr w:rsidR="002A78D0" w:rsidRPr="002A78D0" w:rsidTr="00F93E2C">
        <w:trPr>
          <w:trHeight w:val="472"/>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72"/>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41"/>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7.2 付诸实践：理解非织造产品开发、设计、应用等工程实践对环境的影响，能够在工程实践中考虑环境保护和可持续发展要求</w:t>
            </w: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52"/>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7.3 评价影响：了解非织造产品及工程项目的相关标准和规范，能分析评价非织造材料与工程实践项目对</w:t>
            </w:r>
            <w:r w:rsidRPr="002A78D0">
              <w:rPr>
                <w:rFonts w:ascii="宋体" w:hAnsi="宋体" w:cs="宋体" w:hint="eastAsia"/>
                <w:szCs w:val="21"/>
              </w:rPr>
              <w:lastRenderedPageBreak/>
              <w:t>环境、社会可持续发展的影响</w:t>
            </w:r>
          </w:p>
        </w:tc>
      </w:tr>
      <w:tr w:rsidR="002A78D0" w:rsidRPr="002A78D0" w:rsidTr="00F93E2C">
        <w:trPr>
          <w:trHeight w:val="51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610"/>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77"/>
        </w:trPr>
        <w:tc>
          <w:tcPr>
            <w:tcW w:w="3631" w:type="dxa"/>
            <w:vMerge w:val="restar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（8）职业规范：</w:t>
            </w:r>
            <w:r w:rsidRPr="002A78D0">
              <w:rPr>
                <w:rFonts w:ascii="宋体" w:hAnsi="宋体" w:cs="宋体" w:hint="eastAsia"/>
                <w:szCs w:val="21"/>
              </w:rPr>
              <w:t>具有良好的人文社会科学素养、强烈的社会责任感，能够在非织造材料与工程实践中理解并遵守工程职业道德和规范，履行相应社会责任。</w:t>
            </w: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8.1 树立价值观和责任感：理解社会主义核心价值观，树立正确的价值观，了解中国国情，具有推动民族复兴和社会进步的责任感</w:t>
            </w:r>
          </w:p>
        </w:tc>
      </w:tr>
      <w:tr w:rsidR="002A78D0" w:rsidRPr="002A78D0" w:rsidTr="00F93E2C">
        <w:trPr>
          <w:trHeight w:val="599"/>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99"/>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645"/>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41"/>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8.2 遵守职业道德和规范：了解非织造工程从业人员的职业性质和责任，并能在非织造工程实践中自觉遵守职业道德和规范，诚实公正、诚信守则，具有思想道德修养与法律意识</w:t>
            </w:r>
          </w:p>
        </w:tc>
      </w:tr>
      <w:tr w:rsidR="002A78D0" w:rsidRPr="002A78D0" w:rsidTr="00F93E2C">
        <w:trPr>
          <w:trHeight w:val="541"/>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07"/>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99"/>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8.3 履行社会责任：理解工程师对公众的安全、健康和福祉，以及环境保护的社会责任，能够在工程实践中自觉履行责任</w:t>
            </w:r>
          </w:p>
        </w:tc>
      </w:tr>
      <w:tr w:rsidR="002A78D0" w:rsidRPr="002A78D0" w:rsidTr="00F93E2C">
        <w:trPr>
          <w:trHeight w:val="529"/>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73"/>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95"/>
        </w:trPr>
        <w:tc>
          <w:tcPr>
            <w:tcW w:w="3631" w:type="dxa"/>
            <w:vMerge w:val="restar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（9）个人和团队：</w:t>
            </w:r>
            <w:r w:rsidRPr="002A78D0">
              <w:rPr>
                <w:rFonts w:ascii="宋体" w:hAnsi="宋体" w:cs="宋体" w:hint="eastAsia"/>
                <w:szCs w:val="21"/>
              </w:rPr>
              <w:t>能够在多学科背景下的团队中承担个体、团队成员以及负责人的角色。</w:t>
            </w: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9.1 团队工作：具有健康的体质和良好的心理素质，能与其他学科的成员有效沟通，合作共事，能够在团队中独立或合作开展工作</w:t>
            </w:r>
          </w:p>
        </w:tc>
      </w:tr>
      <w:tr w:rsidR="002A78D0" w:rsidRPr="002A78D0" w:rsidTr="00F93E2C">
        <w:trPr>
          <w:trHeight w:val="495"/>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9.2 领导团队：能够组织、协调和指挥团队开展工作，胜任团队负责人的角色和责任</w:t>
            </w: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val="restar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（10）沟通：</w:t>
            </w:r>
            <w:r w:rsidRPr="002A78D0">
              <w:rPr>
                <w:rFonts w:ascii="宋体" w:hAnsi="宋体" w:cs="宋体" w:hint="eastAsia"/>
                <w:szCs w:val="21"/>
              </w:rPr>
              <w:t>能够就非织造材料与工程领域复杂工程问题与业界同行及社会公众进行有效沟通和交流，包括撰写报告和设计文稿、陈述发言、清晰表达或回应指令，并具备一定的国际视野，能够在跨文化背景下进行沟通和交流。</w:t>
            </w: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10.1 沟通交流能力：能够就非织造材料与工程领域复杂工程问题与业界同行及社会公众进行有效的沟通和交流，能够根据需要撰写报告和设计文稿、陈述发言、清晰表达或回应指令</w:t>
            </w:r>
          </w:p>
        </w:tc>
      </w:tr>
      <w:tr w:rsidR="002A78D0" w:rsidRPr="002A78D0" w:rsidTr="00F93E2C">
        <w:trPr>
          <w:trHeight w:val="576"/>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645"/>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84"/>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10.2 跟踪前沿：能够通过阅读技术文献、参加学术讲座、学术交流等环节，了解专业领域的国际发展趋势和研究热点</w:t>
            </w:r>
          </w:p>
        </w:tc>
      </w:tr>
      <w:tr w:rsidR="002A78D0" w:rsidRPr="002A78D0" w:rsidTr="00F93E2C">
        <w:trPr>
          <w:trHeight w:val="495"/>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32"/>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10.3 国际视野：具有英语听说读写的基本能力，能阅</w:t>
            </w:r>
            <w:r w:rsidRPr="002A78D0">
              <w:rPr>
                <w:rFonts w:ascii="宋体" w:hAnsi="宋体" w:cs="宋体" w:hint="eastAsia"/>
                <w:szCs w:val="21"/>
              </w:rPr>
              <w:lastRenderedPageBreak/>
              <w:t>读和翻译非织造专业外文资料，具备一定的国际视野，能够就专业问题在跨文化背景下进行沟通和交流</w:t>
            </w:r>
          </w:p>
        </w:tc>
      </w:tr>
      <w:tr w:rsidR="002A78D0" w:rsidRPr="002A78D0" w:rsidTr="00F93E2C">
        <w:trPr>
          <w:trHeight w:val="622"/>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679"/>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77"/>
        </w:trPr>
        <w:tc>
          <w:tcPr>
            <w:tcW w:w="3631" w:type="dxa"/>
            <w:vMerge w:val="restar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（11）项目管理：</w:t>
            </w:r>
            <w:r w:rsidRPr="002A78D0">
              <w:rPr>
                <w:rFonts w:ascii="宋体" w:hAnsi="宋体" w:cs="宋体" w:hint="eastAsia"/>
                <w:szCs w:val="21"/>
              </w:rPr>
              <w:t>理解并掌握非织造材料与工程管理原理与经济决策方法，并能在多学科环境中应用。</w:t>
            </w: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11.1 学习管理方法：掌握非织造材料与工程项目中涉及的管理与经济决策方法，了解工程及产品的成本构成，理解其中涉及的工程管理与经济决策问题</w:t>
            </w:r>
          </w:p>
        </w:tc>
      </w:tr>
      <w:tr w:rsidR="002A78D0" w:rsidRPr="002A78D0" w:rsidTr="00F93E2C">
        <w:trPr>
          <w:trHeight w:val="495"/>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714"/>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95"/>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11.2 应用管理方法：能够在提出解决非织造产品设计、加工等复杂工程问题的方案的过程中，正确应用工程管理与经济决策方法</w:t>
            </w:r>
          </w:p>
        </w:tc>
      </w:tr>
      <w:tr w:rsidR="002A78D0" w:rsidRPr="002A78D0" w:rsidTr="00F93E2C">
        <w:trPr>
          <w:trHeight w:val="472"/>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541"/>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72"/>
        </w:trPr>
        <w:tc>
          <w:tcPr>
            <w:tcW w:w="3631" w:type="dxa"/>
            <w:vMerge w:val="restar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（12）终身学习：</w:t>
            </w:r>
            <w:r w:rsidRPr="002A78D0">
              <w:rPr>
                <w:rFonts w:ascii="宋体" w:hAnsi="宋体" w:cs="宋体" w:hint="eastAsia"/>
                <w:szCs w:val="21"/>
              </w:rPr>
              <w:t>具有自主学习和终身学习的意识，有不断学习和适应发展的能力。</w:t>
            </w:r>
          </w:p>
        </w:tc>
        <w:tc>
          <w:tcPr>
            <w:tcW w:w="5011" w:type="dxa"/>
            <w:vMerge w:val="restart"/>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12.1 提高学习意识：理解自主学习和终身学习的必要性，具有自主学习和终身学习的意识</w:t>
            </w:r>
          </w:p>
        </w:tc>
      </w:tr>
      <w:tr w:rsidR="002A78D0" w:rsidRPr="002A78D0" w:rsidTr="00F93E2C">
        <w:trPr>
          <w:trHeight w:val="472"/>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68"/>
        </w:trPr>
        <w:tc>
          <w:tcPr>
            <w:tcW w:w="3631" w:type="dxa"/>
            <w:vMerge/>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color w:val="000000"/>
                <w:szCs w:val="21"/>
              </w:rPr>
            </w:pPr>
          </w:p>
        </w:tc>
        <w:tc>
          <w:tcPr>
            <w:tcW w:w="5011" w:type="dxa"/>
            <w:vMerge/>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p>
        </w:tc>
      </w:tr>
      <w:tr w:rsidR="002A78D0" w:rsidRPr="002A78D0" w:rsidTr="00F93E2C">
        <w:trPr>
          <w:trHeight w:val="437"/>
        </w:trPr>
        <w:tc>
          <w:tcPr>
            <w:tcW w:w="3631" w:type="dxa"/>
            <w:vMerge/>
            <w:tcBorders>
              <w:top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color w:val="000000"/>
                <w:szCs w:val="21"/>
              </w:rPr>
            </w:pPr>
          </w:p>
        </w:tc>
        <w:tc>
          <w:tcPr>
            <w:tcW w:w="5011" w:type="dxa"/>
            <w:tcBorders>
              <w:lef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bCs/>
                <w:color w:val="000000"/>
                <w:szCs w:val="21"/>
              </w:rPr>
            </w:pPr>
            <w:r w:rsidRPr="002A78D0">
              <w:rPr>
                <w:rFonts w:ascii="宋体" w:hAnsi="宋体" w:cs="宋体" w:hint="eastAsia"/>
                <w:szCs w:val="21"/>
              </w:rPr>
              <w:t>12.2 提升学习能力：具备自主学习的知识基础，掌握自主学习的方法，了解拓展非织造领域知识和能力的途径，通过不断学习提升自我和适应发展</w:t>
            </w:r>
          </w:p>
        </w:tc>
      </w:tr>
    </w:tbl>
    <w:p w:rsidR="002A78D0" w:rsidRPr="002A78D0" w:rsidRDefault="002A78D0" w:rsidP="002A78D0">
      <w:pPr>
        <w:spacing w:line="360" w:lineRule="auto"/>
        <w:ind w:firstLineChars="200" w:firstLine="480"/>
        <w:rPr>
          <w:rFonts w:ascii="宋体" w:eastAsia="宋体" w:hAnsi="宋体"/>
          <w:color w:val="000000" w:themeColor="text1"/>
          <w:sz w:val="24"/>
          <w:szCs w:val="24"/>
        </w:rPr>
      </w:pPr>
    </w:p>
    <w:p w:rsidR="002A78D0" w:rsidRPr="002A78D0" w:rsidRDefault="002A78D0" w:rsidP="002A78D0">
      <w:pPr>
        <w:numPr>
          <w:ilvl w:val="0"/>
          <w:numId w:val="1"/>
        </w:numPr>
        <w:spacing w:line="360" w:lineRule="auto"/>
        <w:ind w:firstLineChars="200" w:firstLine="482"/>
        <w:rPr>
          <w:rFonts w:ascii="宋体" w:eastAsia="宋体" w:hAnsi="宋体"/>
          <w:b/>
          <w:bCs/>
          <w:color w:val="000000" w:themeColor="text1"/>
          <w:sz w:val="24"/>
          <w:szCs w:val="24"/>
        </w:rPr>
      </w:pPr>
      <w:r w:rsidRPr="002A78D0">
        <w:rPr>
          <w:rFonts w:ascii="宋体" w:eastAsia="宋体" w:hAnsi="宋体" w:hint="eastAsia"/>
          <w:b/>
          <w:bCs/>
          <w:color w:val="000000" w:themeColor="text1"/>
          <w:sz w:val="24"/>
          <w:szCs w:val="24"/>
        </w:rPr>
        <w:t>说明本专业毕业要求与认证标准要求的实质等效性</w:t>
      </w:r>
    </w:p>
    <w:p w:rsidR="002A78D0" w:rsidRPr="002A78D0" w:rsidRDefault="002A78D0" w:rsidP="002A78D0">
      <w:pPr>
        <w:spacing w:line="360" w:lineRule="auto"/>
        <w:ind w:firstLineChars="200" w:firstLine="480"/>
        <w:rPr>
          <w:rFonts w:ascii="宋体" w:eastAsia="宋体" w:hAnsi="宋体"/>
          <w:color w:val="000000" w:themeColor="text1"/>
          <w:sz w:val="24"/>
          <w:szCs w:val="24"/>
        </w:rPr>
      </w:pPr>
      <w:r w:rsidRPr="002A78D0">
        <w:rPr>
          <w:rFonts w:ascii="宋体" w:eastAsia="宋体" w:hAnsi="宋体" w:hint="eastAsia"/>
          <w:color w:val="000000" w:themeColor="text1"/>
          <w:sz w:val="24"/>
          <w:szCs w:val="24"/>
        </w:rPr>
        <w:t>本专业毕业要求是根据培养目标制定的，本专业毕业要求与认证标准要求的对应关系见表2。从表2可以看出，本专业毕业要求从专业知识和能力（毕业要求 1~5）、工程素养（毕业要求 6~8，11）和职业发展能力（毕业要求 9，10，12）三个方面对毕业生提出了明确的要求，既较好地支撑了培养目标（如表 3 所示，因篇幅受限不展开分析），又与工程教育专业认证通用标准具有显著的一一对应关系，能够全面等效通用标准的 12 项毕业要求。通过对比可以看出，本专业毕业要求所描述的学生知识、能力、素养均等于或高于认证通用标准的要求，完全能够等效通用标准的要求。</w:t>
      </w:r>
    </w:p>
    <w:p w:rsidR="002A78D0" w:rsidRPr="002A78D0" w:rsidRDefault="002A78D0" w:rsidP="002A78D0">
      <w:pPr>
        <w:widowControl/>
        <w:spacing w:line="360" w:lineRule="auto"/>
        <w:jc w:val="center"/>
        <w:rPr>
          <w:rFonts w:ascii="宋体" w:eastAsia="宋体" w:hAnsi="宋体"/>
          <w:color w:val="000000" w:themeColor="text1"/>
          <w:sz w:val="24"/>
          <w:szCs w:val="24"/>
        </w:rPr>
      </w:pPr>
      <w:r w:rsidRPr="002A78D0">
        <w:rPr>
          <w:rFonts w:ascii="宋体" w:eastAsia="宋体" w:hAnsi="宋体" w:cs="宋体" w:hint="eastAsia"/>
          <w:b/>
          <w:bCs/>
          <w:color w:val="000000"/>
          <w:kern w:val="0"/>
          <w:sz w:val="24"/>
          <w:szCs w:val="24"/>
          <w:lang w:bidi="ar"/>
        </w:rPr>
        <w:t xml:space="preserve">表2 </w:t>
      </w:r>
      <w:r w:rsidRPr="002A78D0">
        <w:rPr>
          <w:rFonts w:ascii="宋体" w:eastAsia="宋体" w:hAnsi="宋体" w:hint="eastAsia"/>
          <w:b/>
          <w:bCs/>
          <w:color w:val="000000" w:themeColor="text1"/>
          <w:sz w:val="24"/>
          <w:szCs w:val="24"/>
        </w:rPr>
        <w:t>本专业毕业要求与认证标准要求的对应关系</w:t>
      </w:r>
    </w:p>
    <w:tbl>
      <w:tblPr>
        <w:tblStyle w:val="a7"/>
        <w:tblW w:w="5000" w:type="pct"/>
        <w:tblInd w:w="0" w:type="dxa"/>
        <w:tblCellMar>
          <w:left w:w="108" w:type="dxa"/>
          <w:right w:w="108" w:type="dxa"/>
        </w:tblCellMar>
        <w:tblLook w:val="04A0" w:firstRow="1" w:lastRow="0" w:firstColumn="1" w:lastColumn="0" w:noHBand="0" w:noVBand="1"/>
      </w:tblPr>
      <w:tblGrid>
        <w:gridCol w:w="4148"/>
        <w:gridCol w:w="4148"/>
      </w:tblGrid>
      <w:tr w:rsidR="002A78D0" w:rsidRPr="002A78D0" w:rsidTr="00F93E2C">
        <w:tc>
          <w:tcPr>
            <w:tcW w:w="2500" w:type="pct"/>
            <w:tcBorders>
              <w:bottom w:val="single" w:sz="4" w:space="0" w:color="auto"/>
              <w:right w:val="single" w:sz="4" w:space="0" w:color="auto"/>
            </w:tcBorders>
            <w:shd w:val="clear" w:color="auto" w:fill="4BACC6"/>
            <w:vAlign w:val="center"/>
          </w:tcPr>
          <w:p w:rsidR="002A78D0" w:rsidRPr="002A78D0" w:rsidRDefault="002A78D0" w:rsidP="00F93E2C">
            <w:pPr>
              <w:autoSpaceDE w:val="0"/>
              <w:autoSpaceDN w:val="0"/>
              <w:adjustRightInd w:val="0"/>
              <w:spacing w:line="360" w:lineRule="auto"/>
              <w:jc w:val="center"/>
              <w:rPr>
                <w:rFonts w:ascii="宋体" w:hAnsi="宋体" w:cs="宋体"/>
                <w:b/>
                <w:bCs/>
                <w:sz w:val="24"/>
                <w:szCs w:val="24"/>
              </w:rPr>
            </w:pPr>
            <w:r w:rsidRPr="002A78D0">
              <w:rPr>
                <w:rFonts w:ascii="宋体" w:hAnsi="宋体" w:cs="宋体" w:hint="eastAsia"/>
                <w:b/>
                <w:bCs/>
                <w:sz w:val="24"/>
                <w:szCs w:val="24"/>
              </w:rPr>
              <w:t>认证标准要求</w:t>
            </w:r>
          </w:p>
        </w:tc>
        <w:tc>
          <w:tcPr>
            <w:tcW w:w="2500" w:type="pct"/>
            <w:tcBorders>
              <w:bottom w:val="single" w:sz="4" w:space="0" w:color="auto"/>
              <w:right w:val="single" w:sz="4" w:space="0" w:color="auto"/>
            </w:tcBorders>
            <w:shd w:val="clear" w:color="auto" w:fill="4BACC6"/>
            <w:vAlign w:val="center"/>
          </w:tcPr>
          <w:p w:rsidR="002A78D0" w:rsidRPr="002A78D0" w:rsidRDefault="002A78D0" w:rsidP="00F93E2C">
            <w:pPr>
              <w:autoSpaceDE w:val="0"/>
              <w:autoSpaceDN w:val="0"/>
              <w:adjustRightInd w:val="0"/>
              <w:spacing w:line="360" w:lineRule="auto"/>
              <w:jc w:val="center"/>
              <w:rPr>
                <w:rFonts w:ascii="宋体" w:hAnsi="宋体" w:cs="宋体"/>
                <w:b/>
                <w:bCs/>
                <w:sz w:val="24"/>
                <w:szCs w:val="24"/>
              </w:rPr>
            </w:pPr>
            <w:r w:rsidRPr="002A78D0">
              <w:rPr>
                <w:rFonts w:ascii="宋体" w:hAnsi="宋体" w:hint="eastAsia"/>
                <w:b/>
                <w:bCs/>
                <w:color w:val="000000" w:themeColor="text1"/>
                <w:sz w:val="24"/>
                <w:szCs w:val="24"/>
              </w:rPr>
              <w:t>本专业</w:t>
            </w:r>
            <w:r w:rsidRPr="002A78D0">
              <w:rPr>
                <w:rFonts w:ascii="宋体" w:hAnsi="宋体" w:cs="宋体" w:hint="eastAsia"/>
                <w:b/>
                <w:bCs/>
                <w:sz w:val="24"/>
                <w:szCs w:val="24"/>
              </w:rPr>
              <w:t>毕业要求</w:t>
            </w:r>
          </w:p>
        </w:tc>
      </w:tr>
      <w:tr w:rsidR="002A78D0" w:rsidRPr="002A78D0" w:rsidTr="00F93E2C">
        <w:trPr>
          <w:trHeight w:val="393"/>
        </w:trPr>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（1）工程知识：</w:t>
            </w:r>
            <w:r w:rsidRPr="002A78D0">
              <w:rPr>
                <w:rFonts w:ascii="宋体" w:hAnsi="宋体" w:cs="宋体" w:hint="eastAsia"/>
                <w:szCs w:val="21"/>
              </w:rPr>
              <w:t>能够将数学、自然科学、工</w:t>
            </w:r>
            <w:r w:rsidRPr="002A78D0">
              <w:rPr>
                <w:rFonts w:ascii="宋体" w:hAnsi="宋体" w:cs="宋体" w:hint="eastAsia"/>
                <w:szCs w:val="21"/>
              </w:rPr>
              <w:lastRenderedPageBreak/>
              <w:t>程基础和专业知识用于解决复杂工程问题。</w:t>
            </w:r>
          </w:p>
        </w:tc>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lastRenderedPageBreak/>
              <w:t>（1）工程知识：</w:t>
            </w:r>
            <w:r w:rsidRPr="002A78D0">
              <w:rPr>
                <w:rFonts w:ascii="宋体" w:hAnsi="宋体" w:cs="宋体" w:hint="eastAsia"/>
                <w:szCs w:val="21"/>
              </w:rPr>
              <w:t>能够将数学、自然科学、工</w:t>
            </w:r>
            <w:r w:rsidRPr="002A78D0">
              <w:rPr>
                <w:rFonts w:ascii="宋体" w:hAnsi="宋体" w:cs="宋体" w:hint="eastAsia"/>
                <w:szCs w:val="21"/>
              </w:rPr>
              <w:lastRenderedPageBreak/>
              <w:t>程基础，以及纺织和非织造专业知识用于解决原材料制备与选用、工艺设计与控制、产品设计开发与检测等各类复杂工程问题。</w:t>
            </w:r>
          </w:p>
        </w:tc>
      </w:tr>
      <w:tr w:rsidR="002A78D0" w:rsidRPr="002A78D0" w:rsidTr="00F93E2C">
        <w:trPr>
          <w:trHeight w:val="339"/>
        </w:trPr>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lastRenderedPageBreak/>
              <w:t>（2）问题分析：</w:t>
            </w:r>
            <w:r w:rsidRPr="002A78D0">
              <w:rPr>
                <w:rFonts w:ascii="宋体" w:hAnsi="宋体" w:cs="宋体" w:hint="eastAsia"/>
                <w:szCs w:val="21"/>
              </w:rPr>
              <w:t>能够应用数学、 自然科学和工程科学的基本原理， 识别、表达、并通过文献研究分析复杂工程问题，以获得有效结论。</w:t>
            </w:r>
          </w:p>
        </w:tc>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（2）问题分析：</w:t>
            </w:r>
            <w:r w:rsidRPr="002A78D0">
              <w:rPr>
                <w:rFonts w:ascii="宋体" w:hAnsi="宋体" w:cs="宋体" w:hint="eastAsia"/>
                <w:szCs w:val="21"/>
              </w:rPr>
              <w:t>能够应用数学、自然科学和工程科学的基本原理及非织造材料与工程专业知识，对各类非织造材料与工程领域的复杂工程问题进行剖析、表征，并能够通过文献查阅分析研究获得合理、有效、正确的结论。</w:t>
            </w:r>
          </w:p>
        </w:tc>
      </w:tr>
      <w:tr w:rsidR="002A78D0" w:rsidRPr="002A78D0" w:rsidTr="00F93E2C">
        <w:trPr>
          <w:trHeight w:val="554"/>
        </w:trPr>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（3）设计/开发解决方案：</w:t>
            </w:r>
            <w:r w:rsidRPr="002A78D0">
              <w:rPr>
                <w:rFonts w:ascii="宋体" w:hAnsi="宋体" w:cs="宋体" w:hint="eastAsia"/>
                <w:szCs w:val="21"/>
              </w:rPr>
              <w:t>能够设计针对复杂工程问题的解决方案， 设计满足特定需求的系统、单元（部件）或工艺流程，并能够在设计环节中体现创新意识，考虑社会、健康、安全、法律、文化以及环境等因素。</w:t>
            </w:r>
          </w:p>
        </w:tc>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（3）设计/开发解决方案：</w:t>
            </w:r>
            <w:r w:rsidRPr="002A78D0">
              <w:rPr>
                <w:rFonts w:ascii="宋体" w:hAnsi="宋体" w:cs="宋体" w:hint="eastAsia"/>
                <w:szCs w:val="21"/>
              </w:rPr>
              <w:t>掌握非织造材料全周期、全流程的工程设计和产品开发方法和技术，了解影响设计目标和技术方案的各种因素，能够进行工艺流程设计并在设计中体现创新意识，能够在设计中考虑安全、健康、法律、文化及环境等制约因素。</w:t>
            </w:r>
          </w:p>
        </w:tc>
      </w:tr>
      <w:tr w:rsidR="002A78D0" w:rsidRPr="002A78D0" w:rsidTr="00F93E2C">
        <w:trPr>
          <w:trHeight w:val="472"/>
        </w:trPr>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（4）研究：</w:t>
            </w:r>
            <w:r w:rsidRPr="002A78D0">
              <w:rPr>
                <w:rFonts w:ascii="宋体" w:hAnsi="宋体" w:cs="宋体" w:hint="eastAsia"/>
                <w:szCs w:val="21"/>
              </w:rPr>
              <w:t>能够基于科学原理并采用科学方法对复杂工程问题进行研究，包括设计实验、分析与解释数据、并通过信息综合得到合理有效的结论。</w:t>
            </w:r>
          </w:p>
        </w:tc>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（4）研究：</w:t>
            </w:r>
            <w:r w:rsidRPr="002A78D0">
              <w:rPr>
                <w:rFonts w:ascii="宋体" w:hAnsi="宋体" w:cs="宋体" w:hint="eastAsia"/>
                <w:szCs w:val="21"/>
              </w:rPr>
              <w:t>能够基于科学原理并采用科学方法对非织造材料与工程领域复杂工程问题进行研究，包括设计实验、分析与解释数据，并通过信息综合得到合理有效的结论。</w:t>
            </w:r>
          </w:p>
        </w:tc>
      </w:tr>
      <w:tr w:rsidR="002A78D0" w:rsidRPr="002A78D0" w:rsidTr="00F93E2C">
        <w:trPr>
          <w:trHeight w:val="495"/>
        </w:trPr>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（5）使用现代工具：</w:t>
            </w:r>
            <w:r w:rsidRPr="002A78D0">
              <w:rPr>
                <w:rFonts w:ascii="宋体" w:hAnsi="宋体" w:cs="宋体" w:hint="eastAsia"/>
                <w:szCs w:val="21"/>
              </w:rPr>
              <w:t>能够针对复杂工程问题，开发、选择与使用恰当的技术、资源、现代工程工具和信息技术工具，包括对复杂工程问题的预测与模拟，并能够理解其局限性。</w:t>
            </w:r>
          </w:p>
        </w:tc>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（5）使用现代工具：</w:t>
            </w:r>
            <w:r w:rsidRPr="002A78D0">
              <w:rPr>
                <w:rFonts w:ascii="宋体" w:hAnsi="宋体" w:cs="宋体" w:hint="eastAsia"/>
                <w:szCs w:val="21"/>
              </w:rPr>
              <w:t>能够针对非织造材料与工程领域的复杂工程问题，开发、选择与使用恰当的技术、资源、现代工程工具和信息技术工具，包括对复杂工程问题的预测与模拟，并能够理解其局限性。</w:t>
            </w:r>
          </w:p>
        </w:tc>
      </w:tr>
      <w:tr w:rsidR="002A78D0" w:rsidRPr="002A78D0" w:rsidTr="00F93E2C">
        <w:trPr>
          <w:trHeight w:val="752"/>
        </w:trPr>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（6）工程与社会：</w:t>
            </w:r>
            <w:r w:rsidRPr="002A78D0">
              <w:rPr>
                <w:rFonts w:ascii="宋体" w:hAnsi="宋体" w:cs="宋体" w:hint="eastAsia"/>
                <w:szCs w:val="21"/>
              </w:rPr>
              <w:t>能够基于工程相关背景知识进行合理分析，评价专业工程实践和复杂工程问题解决方案对社会、健康、安全、法律以及文化的影响，并理解应承担的责任。</w:t>
            </w:r>
          </w:p>
        </w:tc>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（6）工程与社会：</w:t>
            </w:r>
            <w:r w:rsidRPr="002A78D0">
              <w:rPr>
                <w:rFonts w:ascii="宋体" w:hAnsi="宋体" w:cs="宋体" w:hint="eastAsia"/>
                <w:szCs w:val="21"/>
              </w:rPr>
              <w:t>了解与非织造材料与工程相关的知识产权和技术标准、产业政策和法律法规，能够基于非织造工程相关背景和知识进行合理分析，正确评价非织造材料与工程专业实践和复杂工程问题解决方案对社</w:t>
            </w:r>
            <w:r w:rsidRPr="002A78D0">
              <w:rPr>
                <w:rFonts w:ascii="宋体" w:hAnsi="宋体" w:cs="宋体" w:hint="eastAsia"/>
                <w:szCs w:val="21"/>
              </w:rPr>
              <w:lastRenderedPageBreak/>
              <w:t>会、健康、安全、法律以及文化的影响，并理解应承担的责任。</w:t>
            </w:r>
          </w:p>
        </w:tc>
      </w:tr>
      <w:tr w:rsidR="002A78D0" w:rsidRPr="002A78D0" w:rsidTr="00F93E2C">
        <w:trPr>
          <w:trHeight w:val="518"/>
        </w:trPr>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lastRenderedPageBreak/>
              <w:t>（7）环境和可持续发展：</w:t>
            </w:r>
            <w:r w:rsidRPr="002A78D0">
              <w:rPr>
                <w:rFonts w:ascii="宋体" w:hAnsi="宋体" w:cs="宋体" w:hint="eastAsia"/>
                <w:szCs w:val="21"/>
              </w:rPr>
              <w:t>能够理解和评价针对复杂工程问题的工程实践对环境、社会可持续发展的影响。</w:t>
            </w:r>
          </w:p>
        </w:tc>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（7）环境和可持续发展：</w:t>
            </w:r>
            <w:r w:rsidRPr="002A78D0">
              <w:rPr>
                <w:rFonts w:ascii="宋体" w:hAnsi="宋体" w:cs="宋体" w:hint="eastAsia"/>
                <w:szCs w:val="21"/>
              </w:rPr>
              <w:t>在了解国家环境保护和可持续发展战略及相关政策、法律和法规的基础上，能够理解和评价针对非织造材料与工程领域复杂工程问题的工程实践对环境、社会可持续发展的影响。</w:t>
            </w:r>
          </w:p>
        </w:tc>
      </w:tr>
      <w:tr w:rsidR="002A78D0" w:rsidRPr="002A78D0" w:rsidTr="00F93E2C">
        <w:trPr>
          <w:trHeight w:val="577"/>
        </w:trPr>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（8）职业规范：</w:t>
            </w:r>
            <w:r w:rsidRPr="002A78D0">
              <w:rPr>
                <w:rFonts w:ascii="宋体" w:hAnsi="宋体" w:cs="宋体" w:hint="eastAsia"/>
                <w:szCs w:val="21"/>
              </w:rPr>
              <w:t>具有人文社会科学素养、社会责任感，能够在工程实践中理解并遵守工程职业道德和规范，履行责任。</w:t>
            </w:r>
          </w:p>
        </w:tc>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（8）职业规范：</w:t>
            </w:r>
            <w:r w:rsidRPr="002A78D0">
              <w:rPr>
                <w:rFonts w:ascii="宋体" w:hAnsi="宋体" w:cs="宋体" w:hint="eastAsia"/>
                <w:szCs w:val="21"/>
              </w:rPr>
              <w:t>具有良好的人文社会科学素养、强烈的社会责任感，能够在非织造材料与工程实践中理解并遵守工程职业道德和规范，履行相应社会责任。</w:t>
            </w:r>
          </w:p>
        </w:tc>
      </w:tr>
      <w:tr w:rsidR="002A78D0" w:rsidRPr="002A78D0" w:rsidTr="00F93E2C">
        <w:trPr>
          <w:trHeight w:val="2020"/>
        </w:trPr>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（9）个人和团队：</w:t>
            </w:r>
            <w:r w:rsidRPr="002A78D0">
              <w:rPr>
                <w:rFonts w:ascii="宋体" w:hAnsi="宋体" w:cs="宋体" w:hint="eastAsia"/>
                <w:szCs w:val="21"/>
              </w:rPr>
              <w:t>能够在多学科背景下的团队中承担个体、团队成员以及负责人的角色。</w:t>
            </w:r>
          </w:p>
        </w:tc>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（9）个人和团队：</w:t>
            </w:r>
            <w:r w:rsidRPr="002A78D0">
              <w:rPr>
                <w:rFonts w:ascii="宋体" w:hAnsi="宋体" w:cs="宋体" w:hint="eastAsia"/>
                <w:szCs w:val="21"/>
              </w:rPr>
              <w:t>能够在多学科背景下的团队中承担个体、团队成员以及负责人的角色。</w:t>
            </w:r>
          </w:p>
        </w:tc>
      </w:tr>
      <w:tr w:rsidR="002A78D0" w:rsidRPr="002A78D0" w:rsidTr="00F93E2C">
        <w:trPr>
          <w:trHeight w:val="391"/>
        </w:trPr>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（10）沟通：</w:t>
            </w:r>
            <w:r w:rsidRPr="002A78D0">
              <w:rPr>
                <w:rFonts w:ascii="宋体" w:hAnsi="宋体" w:cs="宋体" w:hint="eastAsia"/>
                <w:szCs w:val="21"/>
              </w:rPr>
              <w:t>能够就复杂工程问题与业界同行及社会公众进行有效沟通和交流，包括撰写报告和设计文稿、陈述发言、清晰表达或回应指令，并具备一定的国际视野，能够在跨文化背景下进行沟通和交流。</w:t>
            </w:r>
          </w:p>
        </w:tc>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（10）沟通：</w:t>
            </w:r>
            <w:r w:rsidRPr="002A78D0">
              <w:rPr>
                <w:rFonts w:ascii="宋体" w:hAnsi="宋体" w:cs="宋体" w:hint="eastAsia"/>
                <w:szCs w:val="21"/>
              </w:rPr>
              <w:t>能够就非织造材料与工程领域复杂工程问题与业界同行及社会公众进行有效沟通和交流，包括撰写报告和设计文稿、陈述发言、清晰表达或回应指令，并具备一定的国际视野，能够在跨文化背景下进行沟通和交流。</w:t>
            </w:r>
          </w:p>
        </w:tc>
      </w:tr>
      <w:tr w:rsidR="002A78D0" w:rsidRPr="002A78D0" w:rsidTr="00F93E2C">
        <w:trPr>
          <w:trHeight w:val="577"/>
        </w:trPr>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（11）项目管理：</w:t>
            </w:r>
            <w:r w:rsidRPr="002A78D0">
              <w:rPr>
                <w:rFonts w:ascii="宋体" w:hAnsi="宋体" w:cs="宋体" w:hint="eastAsia"/>
                <w:szCs w:val="21"/>
              </w:rPr>
              <w:t>理解并掌握工程管理原理与经济决策方法，并能在多学科环境中应用。</w:t>
            </w:r>
          </w:p>
        </w:tc>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（11）项目管理：</w:t>
            </w:r>
            <w:r w:rsidRPr="002A78D0">
              <w:rPr>
                <w:rFonts w:ascii="宋体" w:hAnsi="宋体" w:cs="宋体" w:hint="eastAsia"/>
                <w:szCs w:val="21"/>
              </w:rPr>
              <w:t>理解并掌握非织造材料与工程管理原理与经济决策方法，并能在多学科环境中应用。</w:t>
            </w:r>
          </w:p>
        </w:tc>
      </w:tr>
      <w:tr w:rsidR="002A78D0" w:rsidRPr="002A78D0" w:rsidTr="00F93E2C">
        <w:trPr>
          <w:trHeight w:val="472"/>
        </w:trPr>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（12）终身学习：</w:t>
            </w:r>
            <w:r w:rsidRPr="002A78D0">
              <w:rPr>
                <w:rFonts w:ascii="宋体" w:hAnsi="宋体" w:cs="宋体" w:hint="eastAsia"/>
                <w:szCs w:val="21"/>
              </w:rPr>
              <w:t>具有自主学习和终身学习的意识，有不断学习和适应发展的能力。</w:t>
            </w:r>
          </w:p>
        </w:tc>
        <w:tc>
          <w:tcPr>
            <w:tcW w:w="2500" w:type="pct"/>
            <w:tcBorders>
              <w:top w:val="single" w:sz="4" w:space="0" w:color="auto"/>
              <w:bottom w:val="single" w:sz="4" w:space="0" w:color="auto"/>
              <w:right w:val="single" w:sz="4" w:space="0" w:color="auto"/>
            </w:tcBorders>
            <w:vAlign w:val="center"/>
          </w:tcPr>
          <w:p w:rsidR="002A78D0" w:rsidRPr="002A78D0" w:rsidRDefault="002A78D0" w:rsidP="00F93E2C">
            <w:pPr>
              <w:autoSpaceDE w:val="0"/>
              <w:autoSpaceDN w:val="0"/>
              <w:adjustRightInd w:val="0"/>
              <w:spacing w:line="360" w:lineRule="auto"/>
              <w:jc w:val="left"/>
              <w:rPr>
                <w:rFonts w:ascii="宋体" w:hAnsi="宋体" w:cs="宋体"/>
                <w:szCs w:val="21"/>
              </w:rPr>
            </w:pPr>
            <w:r w:rsidRPr="002A78D0">
              <w:rPr>
                <w:rFonts w:ascii="宋体" w:hAnsi="宋体" w:cs="宋体" w:hint="eastAsia"/>
                <w:b/>
                <w:bCs/>
                <w:szCs w:val="21"/>
              </w:rPr>
              <w:t>（12）终身学习：</w:t>
            </w:r>
            <w:r w:rsidRPr="002A78D0">
              <w:rPr>
                <w:rFonts w:ascii="宋体" w:hAnsi="宋体" w:cs="宋体" w:hint="eastAsia"/>
                <w:szCs w:val="21"/>
              </w:rPr>
              <w:t>具有自主学习和终身学习的意识，有不断学习和适应发展的能力。</w:t>
            </w:r>
          </w:p>
        </w:tc>
      </w:tr>
    </w:tbl>
    <w:p w:rsidR="002A78D0" w:rsidRPr="002A78D0" w:rsidRDefault="002A78D0" w:rsidP="002A78D0">
      <w:pPr>
        <w:spacing w:line="360" w:lineRule="auto"/>
        <w:jc w:val="center"/>
        <w:rPr>
          <w:rFonts w:ascii="宋体" w:eastAsia="宋体" w:hAnsi="宋体"/>
          <w:b/>
          <w:bCs/>
          <w:color w:val="000000" w:themeColor="text1"/>
          <w:sz w:val="24"/>
          <w:szCs w:val="24"/>
        </w:rPr>
      </w:pPr>
    </w:p>
    <w:p w:rsidR="002A78D0" w:rsidRPr="002A78D0" w:rsidRDefault="002A78D0" w:rsidP="002A78D0">
      <w:pPr>
        <w:spacing w:line="360" w:lineRule="auto"/>
        <w:jc w:val="center"/>
        <w:rPr>
          <w:rFonts w:ascii="宋体" w:eastAsia="宋体" w:hAnsi="宋体"/>
          <w:color w:val="000000" w:themeColor="text1"/>
          <w:sz w:val="24"/>
          <w:szCs w:val="24"/>
        </w:rPr>
      </w:pPr>
      <w:r w:rsidRPr="002A78D0">
        <w:rPr>
          <w:rFonts w:ascii="宋体" w:eastAsia="宋体" w:hAnsi="宋体" w:hint="eastAsia"/>
          <w:b/>
          <w:bCs/>
          <w:color w:val="000000" w:themeColor="text1"/>
          <w:sz w:val="24"/>
          <w:szCs w:val="24"/>
        </w:rPr>
        <w:t>表3 毕业要求对培养目标的支撑关系矩阵</w:t>
      </w:r>
    </w:p>
    <w:tbl>
      <w:tblPr>
        <w:tblStyle w:val="a7"/>
        <w:tblW w:w="8620" w:type="dxa"/>
        <w:tblInd w:w="0" w:type="dxa"/>
        <w:tblLayout w:type="fixed"/>
        <w:tblCellMar>
          <w:left w:w="108" w:type="dxa"/>
          <w:right w:w="108" w:type="dxa"/>
        </w:tblCellMar>
        <w:tblLook w:val="04A0" w:firstRow="1" w:lastRow="0" w:firstColumn="1" w:lastColumn="0" w:noHBand="0" w:noVBand="1"/>
      </w:tblPr>
      <w:tblGrid>
        <w:gridCol w:w="2665"/>
        <w:gridCol w:w="1191"/>
        <w:gridCol w:w="1191"/>
        <w:gridCol w:w="1191"/>
        <w:gridCol w:w="1191"/>
        <w:gridCol w:w="1191"/>
      </w:tblGrid>
      <w:tr w:rsidR="002A78D0" w:rsidRPr="002A78D0" w:rsidTr="00F93E2C">
        <w:trPr>
          <w:trHeight w:val="1134"/>
        </w:trPr>
        <w:tc>
          <w:tcPr>
            <w:tcW w:w="2665" w:type="dxa"/>
            <w:tcBorders>
              <w:top w:val="single" w:sz="4" w:space="0" w:color="auto"/>
              <w:left w:val="single" w:sz="4" w:space="0" w:color="auto"/>
              <w:bottom w:val="single" w:sz="4" w:space="0" w:color="auto"/>
              <w:right w:val="single" w:sz="4" w:space="0" w:color="auto"/>
            </w:tcBorders>
            <w:shd w:val="clear" w:color="auto" w:fill="4BACC6"/>
            <w:vAlign w:val="center"/>
          </w:tcPr>
          <w:p w:rsidR="002A78D0" w:rsidRPr="002A78D0" w:rsidRDefault="002A78D0" w:rsidP="00F93E2C">
            <w:pPr>
              <w:snapToGrid w:val="0"/>
              <w:spacing w:line="360" w:lineRule="auto"/>
              <w:jc w:val="left"/>
              <w:rPr>
                <w:rFonts w:ascii="宋体" w:hAnsi="宋体"/>
                <w:b/>
                <w:bCs/>
                <w:sz w:val="24"/>
                <w:szCs w:val="24"/>
              </w:rPr>
            </w:pPr>
          </w:p>
          <w:p w:rsidR="002A78D0" w:rsidRPr="002A78D0" w:rsidRDefault="002A78D0" w:rsidP="00F93E2C">
            <w:pPr>
              <w:snapToGrid w:val="0"/>
              <w:spacing w:line="360" w:lineRule="auto"/>
              <w:jc w:val="left"/>
              <w:rPr>
                <w:rFonts w:ascii="宋体" w:hAnsi="宋体"/>
                <w:b/>
                <w:bCs/>
                <w:sz w:val="24"/>
                <w:szCs w:val="24"/>
              </w:rPr>
            </w:pPr>
            <w:r w:rsidRPr="002A78D0">
              <w:rPr>
                <w:rFonts w:ascii="宋体" w:hAnsi="宋体" w:hint="eastAsia"/>
                <w:b/>
                <w:bCs/>
                <w:sz w:val="24"/>
                <w:szCs w:val="24"/>
              </w:rPr>
              <w:t>毕业要求</w:t>
            </w:r>
          </w:p>
          <w:p w:rsidR="002A78D0" w:rsidRPr="002A78D0" w:rsidRDefault="002A78D0" w:rsidP="00F93E2C">
            <w:pPr>
              <w:spacing w:line="360" w:lineRule="auto"/>
              <w:ind w:firstLineChars="200" w:firstLine="482"/>
              <w:jc w:val="left"/>
              <w:rPr>
                <w:rFonts w:ascii="宋体" w:hAnsi="宋体"/>
                <w:b/>
                <w:bCs/>
                <w:sz w:val="24"/>
                <w:szCs w:val="24"/>
              </w:rPr>
            </w:pPr>
            <w:r w:rsidRPr="002A78D0">
              <w:rPr>
                <w:rFonts w:ascii="宋体" w:hAnsi="宋体" w:hint="eastAsia"/>
                <w:b/>
                <w:bCs/>
                <w:sz w:val="24"/>
                <w:szCs w:val="24"/>
              </w:rPr>
              <w:t>培养目标</w:t>
            </w:r>
          </w:p>
        </w:tc>
        <w:tc>
          <w:tcPr>
            <w:tcW w:w="1191" w:type="dxa"/>
            <w:tcBorders>
              <w:top w:val="single" w:sz="4" w:space="0" w:color="auto"/>
              <w:left w:val="single" w:sz="4" w:space="0" w:color="auto"/>
              <w:bottom w:val="single" w:sz="4" w:space="0" w:color="auto"/>
              <w:right w:val="single" w:sz="4" w:space="0" w:color="auto"/>
            </w:tcBorders>
            <w:shd w:val="clear" w:color="auto" w:fill="4BACC6"/>
            <w:vAlign w:val="center"/>
          </w:tcPr>
          <w:p w:rsidR="002A78D0" w:rsidRPr="002A78D0" w:rsidRDefault="002A78D0" w:rsidP="00F93E2C">
            <w:pPr>
              <w:spacing w:line="360" w:lineRule="auto"/>
              <w:jc w:val="center"/>
              <w:rPr>
                <w:rFonts w:ascii="宋体" w:hAnsi="宋体"/>
                <w:b/>
                <w:bCs/>
                <w:sz w:val="24"/>
                <w:szCs w:val="24"/>
              </w:rPr>
            </w:pPr>
            <w:r w:rsidRPr="002A78D0">
              <w:rPr>
                <w:rFonts w:ascii="宋体" w:hAnsi="宋体" w:hint="eastAsia"/>
                <w:b/>
                <w:bCs/>
                <w:sz w:val="24"/>
                <w:szCs w:val="24"/>
              </w:rPr>
              <w:t>培养目标1</w:t>
            </w:r>
          </w:p>
        </w:tc>
        <w:tc>
          <w:tcPr>
            <w:tcW w:w="1191" w:type="dxa"/>
            <w:tcBorders>
              <w:top w:val="single" w:sz="4" w:space="0" w:color="auto"/>
              <w:left w:val="single" w:sz="4" w:space="0" w:color="auto"/>
              <w:bottom w:val="single" w:sz="4" w:space="0" w:color="auto"/>
              <w:right w:val="single" w:sz="4" w:space="0" w:color="auto"/>
            </w:tcBorders>
            <w:shd w:val="clear" w:color="auto" w:fill="4BACC6"/>
            <w:vAlign w:val="center"/>
          </w:tcPr>
          <w:p w:rsidR="002A78D0" w:rsidRPr="002A78D0" w:rsidRDefault="002A78D0" w:rsidP="00F93E2C">
            <w:pPr>
              <w:spacing w:line="360" w:lineRule="auto"/>
              <w:jc w:val="center"/>
              <w:rPr>
                <w:rFonts w:ascii="宋体" w:hAnsi="宋体"/>
                <w:b/>
                <w:bCs/>
                <w:sz w:val="24"/>
                <w:szCs w:val="24"/>
              </w:rPr>
            </w:pPr>
            <w:r w:rsidRPr="002A78D0">
              <w:rPr>
                <w:rFonts w:ascii="宋体" w:hAnsi="宋体" w:hint="eastAsia"/>
                <w:b/>
                <w:bCs/>
                <w:sz w:val="24"/>
                <w:szCs w:val="24"/>
              </w:rPr>
              <w:t>培养目标2</w:t>
            </w:r>
          </w:p>
        </w:tc>
        <w:tc>
          <w:tcPr>
            <w:tcW w:w="1191" w:type="dxa"/>
            <w:tcBorders>
              <w:top w:val="single" w:sz="4" w:space="0" w:color="auto"/>
              <w:left w:val="single" w:sz="4" w:space="0" w:color="auto"/>
              <w:bottom w:val="single" w:sz="4" w:space="0" w:color="auto"/>
              <w:right w:val="single" w:sz="4" w:space="0" w:color="auto"/>
            </w:tcBorders>
            <w:shd w:val="clear" w:color="auto" w:fill="4BACC6"/>
            <w:vAlign w:val="center"/>
          </w:tcPr>
          <w:p w:rsidR="002A78D0" w:rsidRPr="002A78D0" w:rsidRDefault="002A78D0" w:rsidP="00F93E2C">
            <w:pPr>
              <w:spacing w:line="360" w:lineRule="auto"/>
              <w:jc w:val="center"/>
              <w:rPr>
                <w:rFonts w:ascii="宋体" w:hAnsi="宋体"/>
                <w:b/>
                <w:bCs/>
                <w:sz w:val="24"/>
                <w:szCs w:val="24"/>
              </w:rPr>
            </w:pPr>
            <w:r w:rsidRPr="002A78D0">
              <w:rPr>
                <w:rFonts w:ascii="宋体" w:hAnsi="宋体" w:hint="eastAsia"/>
                <w:b/>
                <w:bCs/>
                <w:sz w:val="24"/>
                <w:szCs w:val="24"/>
              </w:rPr>
              <w:t>培养目标3</w:t>
            </w:r>
          </w:p>
        </w:tc>
        <w:tc>
          <w:tcPr>
            <w:tcW w:w="1191" w:type="dxa"/>
            <w:tcBorders>
              <w:top w:val="single" w:sz="4" w:space="0" w:color="auto"/>
              <w:left w:val="single" w:sz="4" w:space="0" w:color="auto"/>
              <w:bottom w:val="single" w:sz="4" w:space="0" w:color="auto"/>
              <w:right w:val="single" w:sz="4" w:space="0" w:color="auto"/>
            </w:tcBorders>
            <w:shd w:val="clear" w:color="auto" w:fill="4BACC6"/>
            <w:vAlign w:val="center"/>
          </w:tcPr>
          <w:p w:rsidR="002A78D0" w:rsidRPr="002A78D0" w:rsidRDefault="002A78D0" w:rsidP="00F93E2C">
            <w:pPr>
              <w:spacing w:line="360" w:lineRule="auto"/>
              <w:jc w:val="center"/>
              <w:rPr>
                <w:rFonts w:ascii="宋体" w:hAnsi="宋体"/>
                <w:b/>
                <w:bCs/>
                <w:sz w:val="24"/>
                <w:szCs w:val="24"/>
              </w:rPr>
            </w:pPr>
            <w:r w:rsidRPr="002A78D0">
              <w:rPr>
                <w:rFonts w:ascii="宋体" w:hAnsi="宋体" w:hint="eastAsia"/>
                <w:b/>
                <w:bCs/>
                <w:sz w:val="24"/>
                <w:szCs w:val="24"/>
              </w:rPr>
              <w:t>培养目标4</w:t>
            </w:r>
          </w:p>
        </w:tc>
        <w:tc>
          <w:tcPr>
            <w:tcW w:w="1191" w:type="dxa"/>
            <w:tcBorders>
              <w:top w:val="single" w:sz="4" w:space="0" w:color="auto"/>
              <w:left w:val="single" w:sz="4" w:space="0" w:color="auto"/>
              <w:bottom w:val="single" w:sz="4" w:space="0" w:color="auto"/>
              <w:right w:val="single" w:sz="4" w:space="0" w:color="auto"/>
            </w:tcBorders>
            <w:shd w:val="clear" w:color="auto" w:fill="4BACC6"/>
            <w:vAlign w:val="center"/>
          </w:tcPr>
          <w:p w:rsidR="002A78D0" w:rsidRPr="002A78D0" w:rsidRDefault="002A78D0" w:rsidP="00F93E2C">
            <w:pPr>
              <w:spacing w:line="360" w:lineRule="auto"/>
              <w:jc w:val="center"/>
              <w:rPr>
                <w:rFonts w:ascii="宋体" w:hAnsi="宋体"/>
                <w:b/>
                <w:bCs/>
                <w:sz w:val="24"/>
                <w:szCs w:val="24"/>
              </w:rPr>
            </w:pPr>
            <w:r w:rsidRPr="002A78D0">
              <w:rPr>
                <w:rFonts w:ascii="宋体" w:hAnsi="宋体" w:hint="eastAsia"/>
                <w:b/>
                <w:bCs/>
                <w:sz w:val="24"/>
                <w:szCs w:val="24"/>
              </w:rPr>
              <w:t>培养目标5</w:t>
            </w:r>
          </w:p>
        </w:tc>
      </w:tr>
      <w:tr w:rsidR="002A78D0" w:rsidRPr="002A78D0" w:rsidTr="00F93E2C">
        <w:tc>
          <w:tcPr>
            <w:tcW w:w="2665" w:type="dxa"/>
            <w:tcBorders>
              <w:top w:val="single" w:sz="4" w:space="0" w:color="auto"/>
            </w:tcBorders>
            <w:vAlign w:val="center"/>
          </w:tcPr>
          <w:p w:rsidR="002A78D0" w:rsidRPr="002A78D0" w:rsidRDefault="002A78D0" w:rsidP="00F93E2C">
            <w:pPr>
              <w:spacing w:line="360" w:lineRule="auto"/>
              <w:jc w:val="left"/>
              <w:rPr>
                <w:rFonts w:ascii="宋体" w:hAnsi="宋体"/>
                <w:b/>
                <w:bCs/>
                <w:szCs w:val="21"/>
              </w:rPr>
            </w:pPr>
            <w:r w:rsidRPr="002A78D0">
              <w:rPr>
                <w:rFonts w:ascii="宋体" w:hAnsi="宋体" w:hint="eastAsia"/>
                <w:b/>
                <w:bCs/>
                <w:color w:val="000000" w:themeColor="text1"/>
                <w:szCs w:val="21"/>
              </w:rPr>
              <w:t>（1）工程知识</w:t>
            </w:r>
          </w:p>
        </w:tc>
        <w:tc>
          <w:tcPr>
            <w:tcW w:w="1191" w:type="dxa"/>
            <w:tcBorders>
              <w:top w:val="single" w:sz="4" w:space="0" w:color="auto"/>
            </w:tcBorders>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tcBorders>
              <w:top w:val="single" w:sz="4" w:space="0" w:color="auto"/>
            </w:tcBorders>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tcBorders>
              <w:top w:val="single" w:sz="4" w:space="0" w:color="auto"/>
            </w:tcBorders>
            <w:vAlign w:val="center"/>
          </w:tcPr>
          <w:p w:rsidR="002A78D0" w:rsidRPr="002A78D0" w:rsidRDefault="002A78D0" w:rsidP="00F93E2C">
            <w:pPr>
              <w:spacing w:line="360" w:lineRule="auto"/>
              <w:jc w:val="center"/>
              <w:rPr>
                <w:rFonts w:ascii="宋体" w:hAnsi="宋体"/>
                <w:szCs w:val="21"/>
              </w:rPr>
            </w:pPr>
          </w:p>
        </w:tc>
        <w:tc>
          <w:tcPr>
            <w:tcW w:w="1191" w:type="dxa"/>
            <w:tcBorders>
              <w:top w:val="single" w:sz="4" w:space="0" w:color="auto"/>
            </w:tcBorders>
            <w:vAlign w:val="center"/>
          </w:tcPr>
          <w:p w:rsidR="002A78D0" w:rsidRPr="002A78D0" w:rsidRDefault="002A78D0" w:rsidP="00F93E2C">
            <w:pPr>
              <w:spacing w:line="360" w:lineRule="auto"/>
              <w:jc w:val="center"/>
              <w:rPr>
                <w:rFonts w:ascii="宋体" w:hAnsi="宋体"/>
                <w:szCs w:val="21"/>
              </w:rPr>
            </w:pPr>
          </w:p>
        </w:tc>
        <w:tc>
          <w:tcPr>
            <w:tcW w:w="1191" w:type="dxa"/>
            <w:tcBorders>
              <w:top w:val="single" w:sz="4" w:space="0" w:color="auto"/>
            </w:tcBorders>
            <w:vAlign w:val="center"/>
          </w:tcPr>
          <w:p w:rsidR="002A78D0" w:rsidRPr="002A78D0" w:rsidRDefault="002A78D0" w:rsidP="00F93E2C">
            <w:pPr>
              <w:spacing w:line="360" w:lineRule="auto"/>
              <w:jc w:val="center"/>
              <w:rPr>
                <w:rFonts w:ascii="宋体" w:hAnsi="宋体"/>
                <w:szCs w:val="21"/>
              </w:rPr>
            </w:pPr>
          </w:p>
        </w:tc>
      </w:tr>
      <w:tr w:rsidR="002A78D0" w:rsidRPr="002A78D0" w:rsidTr="00F93E2C">
        <w:tc>
          <w:tcPr>
            <w:tcW w:w="2665" w:type="dxa"/>
            <w:vAlign w:val="center"/>
          </w:tcPr>
          <w:p w:rsidR="002A78D0" w:rsidRPr="002A78D0" w:rsidRDefault="002A78D0" w:rsidP="00F93E2C">
            <w:pPr>
              <w:spacing w:line="360" w:lineRule="auto"/>
              <w:jc w:val="left"/>
              <w:rPr>
                <w:rFonts w:ascii="宋体" w:hAnsi="宋体"/>
                <w:b/>
                <w:bCs/>
                <w:szCs w:val="21"/>
              </w:rPr>
            </w:pPr>
            <w:r w:rsidRPr="002A78D0">
              <w:rPr>
                <w:rFonts w:ascii="宋体" w:hAnsi="宋体" w:hint="eastAsia"/>
                <w:b/>
                <w:bCs/>
                <w:color w:val="000000" w:themeColor="text1"/>
                <w:szCs w:val="21"/>
              </w:rPr>
              <w:t>（2）问题分析</w:t>
            </w: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p>
        </w:tc>
      </w:tr>
      <w:tr w:rsidR="002A78D0" w:rsidRPr="002A78D0" w:rsidTr="00F93E2C">
        <w:tc>
          <w:tcPr>
            <w:tcW w:w="2665" w:type="dxa"/>
            <w:vAlign w:val="center"/>
          </w:tcPr>
          <w:p w:rsidR="002A78D0" w:rsidRPr="002A78D0" w:rsidRDefault="002A78D0" w:rsidP="00F93E2C">
            <w:pPr>
              <w:spacing w:line="360" w:lineRule="auto"/>
              <w:jc w:val="left"/>
              <w:rPr>
                <w:rFonts w:ascii="宋体" w:hAnsi="宋体"/>
                <w:b/>
                <w:bCs/>
                <w:szCs w:val="21"/>
              </w:rPr>
            </w:pPr>
            <w:r w:rsidRPr="002A78D0">
              <w:rPr>
                <w:rFonts w:ascii="宋体" w:hAnsi="宋体" w:hint="eastAsia"/>
                <w:b/>
                <w:bCs/>
                <w:color w:val="000000" w:themeColor="text1"/>
                <w:szCs w:val="21"/>
              </w:rPr>
              <w:t>（3）设计/开发解决方案</w:t>
            </w: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p>
        </w:tc>
      </w:tr>
      <w:tr w:rsidR="002A78D0" w:rsidRPr="002A78D0" w:rsidTr="00F93E2C">
        <w:tc>
          <w:tcPr>
            <w:tcW w:w="2665" w:type="dxa"/>
            <w:vAlign w:val="center"/>
          </w:tcPr>
          <w:p w:rsidR="002A78D0" w:rsidRPr="002A78D0" w:rsidRDefault="002A78D0" w:rsidP="00F93E2C">
            <w:pPr>
              <w:spacing w:line="360" w:lineRule="auto"/>
              <w:jc w:val="left"/>
              <w:rPr>
                <w:rFonts w:ascii="宋体" w:hAnsi="宋体"/>
                <w:b/>
                <w:bCs/>
                <w:szCs w:val="21"/>
              </w:rPr>
            </w:pPr>
            <w:r w:rsidRPr="002A78D0">
              <w:rPr>
                <w:rFonts w:ascii="宋体" w:hAnsi="宋体" w:hint="eastAsia"/>
                <w:b/>
                <w:bCs/>
                <w:color w:val="000000" w:themeColor="text1"/>
                <w:szCs w:val="21"/>
              </w:rPr>
              <w:t>（4）研究</w:t>
            </w: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p>
        </w:tc>
      </w:tr>
      <w:tr w:rsidR="002A78D0" w:rsidRPr="002A78D0" w:rsidTr="00F93E2C">
        <w:tc>
          <w:tcPr>
            <w:tcW w:w="2665" w:type="dxa"/>
            <w:vAlign w:val="center"/>
          </w:tcPr>
          <w:p w:rsidR="002A78D0" w:rsidRPr="002A78D0" w:rsidRDefault="002A78D0" w:rsidP="00F93E2C">
            <w:pPr>
              <w:spacing w:line="360" w:lineRule="auto"/>
              <w:jc w:val="left"/>
              <w:rPr>
                <w:rFonts w:ascii="宋体" w:hAnsi="宋体"/>
                <w:b/>
                <w:bCs/>
                <w:szCs w:val="21"/>
              </w:rPr>
            </w:pPr>
            <w:r w:rsidRPr="002A78D0">
              <w:rPr>
                <w:rFonts w:ascii="宋体" w:hAnsi="宋体" w:hint="eastAsia"/>
                <w:b/>
                <w:bCs/>
                <w:color w:val="000000" w:themeColor="text1"/>
                <w:szCs w:val="21"/>
              </w:rPr>
              <w:t>（5）使用现代工具</w:t>
            </w: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r>
      <w:tr w:rsidR="002A78D0" w:rsidRPr="002A78D0" w:rsidTr="00F93E2C">
        <w:tc>
          <w:tcPr>
            <w:tcW w:w="2665" w:type="dxa"/>
            <w:vAlign w:val="center"/>
          </w:tcPr>
          <w:p w:rsidR="002A78D0" w:rsidRPr="002A78D0" w:rsidRDefault="002A78D0" w:rsidP="00F93E2C">
            <w:pPr>
              <w:spacing w:line="360" w:lineRule="auto"/>
              <w:jc w:val="left"/>
              <w:rPr>
                <w:rFonts w:ascii="宋体" w:hAnsi="宋体"/>
                <w:b/>
                <w:bCs/>
                <w:szCs w:val="21"/>
              </w:rPr>
            </w:pPr>
            <w:r w:rsidRPr="002A78D0">
              <w:rPr>
                <w:rFonts w:ascii="宋体" w:hAnsi="宋体" w:hint="eastAsia"/>
                <w:b/>
                <w:bCs/>
                <w:color w:val="000000" w:themeColor="text1"/>
                <w:szCs w:val="21"/>
              </w:rPr>
              <w:t>（6）工程与社会</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p>
        </w:tc>
      </w:tr>
      <w:tr w:rsidR="002A78D0" w:rsidRPr="002A78D0" w:rsidTr="00F93E2C">
        <w:tc>
          <w:tcPr>
            <w:tcW w:w="2665" w:type="dxa"/>
            <w:vAlign w:val="center"/>
          </w:tcPr>
          <w:p w:rsidR="002A78D0" w:rsidRPr="002A78D0" w:rsidRDefault="002A78D0" w:rsidP="00F93E2C">
            <w:pPr>
              <w:spacing w:line="360" w:lineRule="auto"/>
              <w:jc w:val="left"/>
              <w:rPr>
                <w:rFonts w:ascii="宋体" w:hAnsi="宋体"/>
                <w:b/>
                <w:bCs/>
                <w:szCs w:val="21"/>
              </w:rPr>
            </w:pPr>
            <w:r w:rsidRPr="002A78D0">
              <w:rPr>
                <w:rFonts w:ascii="宋体" w:hAnsi="宋体" w:hint="eastAsia"/>
                <w:b/>
                <w:bCs/>
                <w:color w:val="000000" w:themeColor="text1"/>
                <w:szCs w:val="21"/>
              </w:rPr>
              <w:t>（7）环境和可持续发展</w:t>
            </w: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p>
        </w:tc>
      </w:tr>
      <w:tr w:rsidR="002A78D0" w:rsidRPr="002A78D0" w:rsidTr="00F93E2C">
        <w:tc>
          <w:tcPr>
            <w:tcW w:w="2665" w:type="dxa"/>
            <w:vAlign w:val="center"/>
          </w:tcPr>
          <w:p w:rsidR="002A78D0" w:rsidRPr="002A78D0" w:rsidRDefault="002A78D0" w:rsidP="00F93E2C">
            <w:pPr>
              <w:spacing w:line="360" w:lineRule="auto"/>
              <w:jc w:val="left"/>
              <w:rPr>
                <w:rFonts w:ascii="宋体" w:hAnsi="宋体"/>
                <w:b/>
                <w:bCs/>
                <w:szCs w:val="21"/>
              </w:rPr>
            </w:pPr>
            <w:r w:rsidRPr="002A78D0">
              <w:rPr>
                <w:rFonts w:ascii="宋体" w:hAnsi="宋体" w:hint="eastAsia"/>
                <w:b/>
                <w:bCs/>
                <w:color w:val="000000" w:themeColor="text1"/>
                <w:szCs w:val="21"/>
              </w:rPr>
              <w:t>（8）职业规范</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p>
        </w:tc>
      </w:tr>
      <w:tr w:rsidR="002A78D0" w:rsidRPr="002A78D0" w:rsidTr="00F93E2C">
        <w:tc>
          <w:tcPr>
            <w:tcW w:w="2665" w:type="dxa"/>
            <w:vAlign w:val="center"/>
          </w:tcPr>
          <w:p w:rsidR="002A78D0" w:rsidRPr="002A78D0" w:rsidRDefault="002A78D0" w:rsidP="00F93E2C">
            <w:pPr>
              <w:spacing w:line="360" w:lineRule="auto"/>
              <w:jc w:val="left"/>
              <w:rPr>
                <w:rFonts w:ascii="宋体" w:hAnsi="宋体"/>
                <w:b/>
                <w:bCs/>
                <w:szCs w:val="21"/>
              </w:rPr>
            </w:pPr>
            <w:r w:rsidRPr="002A78D0">
              <w:rPr>
                <w:rFonts w:ascii="宋体" w:hAnsi="宋体" w:hint="eastAsia"/>
                <w:b/>
                <w:bCs/>
                <w:color w:val="000000" w:themeColor="text1"/>
                <w:szCs w:val="21"/>
              </w:rPr>
              <w:t>（9）个人和团队</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p>
        </w:tc>
      </w:tr>
      <w:tr w:rsidR="002A78D0" w:rsidRPr="002A78D0" w:rsidTr="00F93E2C">
        <w:tc>
          <w:tcPr>
            <w:tcW w:w="2665" w:type="dxa"/>
            <w:vAlign w:val="center"/>
          </w:tcPr>
          <w:p w:rsidR="002A78D0" w:rsidRPr="002A78D0" w:rsidRDefault="002A78D0" w:rsidP="00F93E2C">
            <w:pPr>
              <w:spacing w:line="360" w:lineRule="auto"/>
              <w:jc w:val="left"/>
              <w:rPr>
                <w:rFonts w:ascii="宋体" w:hAnsi="宋体"/>
                <w:b/>
                <w:bCs/>
                <w:szCs w:val="21"/>
              </w:rPr>
            </w:pPr>
            <w:r w:rsidRPr="002A78D0">
              <w:rPr>
                <w:rFonts w:ascii="宋体" w:hAnsi="宋体" w:hint="eastAsia"/>
                <w:b/>
                <w:bCs/>
                <w:color w:val="000000" w:themeColor="text1"/>
                <w:szCs w:val="21"/>
              </w:rPr>
              <w:t>（10）沟通能力</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r>
      <w:tr w:rsidR="002A78D0" w:rsidRPr="002A78D0" w:rsidTr="00F93E2C">
        <w:tc>
          <w:tcPr>
            <w:tcW w:w="2665" w:type="dxa"/>
            <w:vAlign w:val="center"/>
          </w:tcPr>
          <w:p w:rsidR="002A78D0" w:rsidRPr="002A78D0" w:rsidRDefault="002A78D0" w:rsidP="00F93E2C">
            <w:pPr>
              <w:spacing w:line="360" w:lineRule="auto"/>
              <w:jc w:val="left"/>
              <w:rPr>
                <w:rFonts w:ascii="宋体" w:hAnsi="宋体"/>
                <w:b/>
                <w:bCs/>
                <w:szCs w:val="21"/>
              </w:rPr>
            </w:pPr>
            <w:r w:rsidRPr="002A78D0">
              <w:rPr>
                <w:rFonts w:ascii="宋体" w:hAnsi="宋体" w:hint="eastAsia"/>
                <w:b/>
                <w:bCs/>
                <w:color w:val="000000" w:themeColor="text1"/>
                <w:szCs w:val="21"/>
              </w:rPr>
              <w:t>（11）项目管理</w:t>
            </w: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p>
        </w:tc>
      </w:tr>
      <w:tr w:rsidR="002A78D0" w:rsidRPr="002A78D0" w:rsidTr="00F93E2C">
        <w:tc>
          <w:tcPr>
            <w:tcW w:w="2665" w:type="dxa"/>
            <w:vAlign w:val="center"/>
          </w:tcPr>
          <w:p w:rsidR="002A78D0" w:rsidRPr="002A78D0" w:rsidRDefault="002A78D0" w:rsidP="00F93E2C">
            <w:pPr>
              <w:spacing w:line="360" w:lineRule="auto"/>
              <w:jc w:val="left"/>
              <w:rPr>
                <w:rFonts w:ascii="宋体" w:hAnsi="宋体"/>
                <w:b/>
                <w:bCs/>
                <w:szCs w:val="21"/>
              </w:rPr>
            </w:pPr>
            <w:r w:rsidRPr="002A78D0">
              <w:rPr>
                <w:rFonts w:ascii="宋体" w:hAnsi="宋体" w:hint="eastAsia"/>
                <w:b/>
                <w:bCs/>
                <w:color w:val="000000" w:themeColor="text1"/>
                <w:szCs w:val="21"/>
              </w:rPr>
              <w:t>（12）终身学习</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p>
        </w:tc>
        <w:tc>
          <w:tcPr>
            <w:tcW w:w="1191" w:type="dxa"/>
            <w:vAlign w:val="center"/>
          </w:tcPr>
          <w:p w:rsidR="002A78D0" w:rsidRPr="002A78D0" w:rsidRDefault="002A78D0" w:rsidP="00F93E2C">
            <w:pPr>
              <w:spacing w:line="360" w:lineRule="auto"/>
              <w:jc w:val="center"/>
              <w:rPr>
                <w:rFonts w:ascii="宋体" w:hAnsi="宋体"/>
                <w:szCs w:val="21"/>
              </w:rPr>
            </w:pPr>
            <w:r w:rsidRPr="002A78D0">
              <w:rPr>
                <w:rFonts w:ascii="宋体" w:hAnsi="宋体" w:hint="eastAsia"/>
                <w:color w:val="000000" w:themeColor="text1"/>
                <w:szCs w:val="21"/>
              </w:rPr>
              <w:t>√</w:t>
            </w:r>
          </w:p>
        </w:tc>
      </w:tr>
    </w:tbl>
    <w:p w:rsidR="00BD4738" w:rsidRDefault="00BD4738">
      <w:bookmarkStart w:id="0" w:name="_GoBack"/>
      <w:bookmarkEnd w:id="0"/>
    </w:p>
    <w:sectPr w:rsidR="00BD47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CE6" w:rsidRDefault="00AD7CE6" w:rsidP="002A78D0">
      <w:r>
        <w:separator/>
      </w:r>
    </w:p>
  </w:endnote>
  <w:endnote w:type="continuationSeparator" w:id="0">
    <w:p w:rsidR="00AD7CE6" w:rsidRDefault="00AD7CE6" w:rsidP="002A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CE6" w:rsidRDefault="00AD7CE6" w:rsidP="002A78D0">
      <w:r>
        <w:separator/>
      </w:r>
    </w:p>
  </w:footnote>
  <w:footnote w:type="continuationSeparator" w:id="0">
    <w:p w:rsidR="00AD7CE6" w:rsidRDefault="00AD7CE6" w:rsidP="002A7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44FB6"/>
    <w:multiLevelType w:val="singleLevel"/>
    <w:tmpl w:val="6BC44FB6"/>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48"/>
    <w:rsid w:val="002A78D0"/>
    <w:rsid w:val="005D5E48"/>
    <w:rsid w:val="00AD7CE6"/>
    <w:rsid w:val="00BD4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272E5"/>
  <w15:chartTrackingRefBased/>
  <w15:docId w15:val="{02A0E432-A9AC-48AF-B551-3FED8BF7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8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78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78D0"/>
    <w:rPr>
      <w:sz w:val="18"/>
      <w:szCs w:val="18"/>
    </w:rPr>
  </w:style>
  <w:style w:type="paragraph" w:styleId="a5">
    <w:name w:val="footer"/>
    <w:basedOn w:val="a"/>
    <w:link w:val="a6"/>
    <w:uiPriority w:val="99"/>
    <w:unhideWhenUsed/>
    <w:rsid w:val="002A78D0"/>
    <w:pPr>
      <w:tabs>
        <w:tab w:val="center" w:pos="4153"/>
        <w:tab w:val="right" w:pos="8306"/>
      </w:tabs>
      <w:snapToGrid w:val="0"/>
      <w:jc w:val="left"/>
    </w:pPr>
    <w:rPr>
      <w:sz w:val="18"/>
      <w:szCs w:val="18"/>
    </w:rPr>
  </w:style>
  <w:style w:type="character" w:customStyle="1" w:styleId="a6">
    <w:name w:val="页脚 字符"/>
    <w:basedOn w:val="a0"/>
    <w:link w:val="a5"/>
    <w:uiPriority w:val="99"/>
    <w:rsid w:val="002A78D0"/>
    <w:rPr>
      <w:sz w:val="18"/>
      <w:szCs w:val="18"/>
    </w:rPr>
  </w:style>
  <w:style w:type="table" w:styleId="a7">
    <w:name w:val="Table Grid"/>
    <w:qFormat/>
    <w:rsid w:val="002A78D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981</Words>
  <Characters>5598</Characters>
  <Application>Microsoft Office Word</Application>
  <DocSecurity>0</DocSecurity>
  <Lines>46</Lines>
  <Paragraphs>13</Paragraphs>
  <ScaleCrop>false</ScaleCrop>
  <Company>Microsoft</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GSS</dc:creator>
  <cp:keywords/>
  <dc:description/>
  <cp:lastModifiedBy>GSS</cp:lastModifiedBy>
  <cp:revision>2</cp:revision>
  <dcterms:created xsi:type="dcterms:W3CDTF">2023-03-14T02:49:00Z</dcterms:created>
  <dcterms:modified xsi:type="dcterms:W3CDTF">2023-03-14T02:51:00Z</dcterms:modified>
</cp:coreProperties>
</file>